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rFonts w:ascii="Arial" w:hAnsi="Arial" w:cs="Arial"/>
        </w:rPr>
      </w:pPr>
      <w:r>
        <w:rPr>
          <w:rFonts w:cs="Arial" w:ascii="Arial" w:hAnsi="Arial"/>
        </w:rPr>
      </w:r>
    </w:p>
    <w:p>
      <w:pPr>
        <w:pStyle w:val="BodyText"/>
        <w:jc w:val="center"/>
        <w:rPr>
          <w:rFonts w:ascii="Arial" w:hAnsi="Arial" w:cs="Arial"/>
        </w:rPr>
      </w:pPr>
      <w:r>
        <w:rPr>
          <w:rFonts w:cs="Arial" w:ascii="Arial" w:hAnsi="Arial"/>
        </w:rPr>
        <w:t>July __, 2001</w:t>
      </w:r>
    </w:p>
    <w:p>
      <w:pPr>
        <w:pStyle w:val="BodyText"/>
        <w:rPr>
          <w:rFonts w:ascii="Arial" w:hAnsi="Arial" w:cs="Arial"/>
        </w:rPr>
      </w:pPr>
      <w:r>
        <w:rPr>
          <w:rFonts w:cs="Arial" w:ascii="Arial" w:hAnsi="Arial"/>
        </w:rPr>
      </w:r>
    </w:p>
    <w:p>
      <w:pPr>
        <w:pStyle w:val="BodyText"/>
        <w:rPr>
          <w:rFonts w:ascii="Arial" w:hAnsi="Arial" w:cs="Arial"/>
          <w:smallCaps/>
          <w:u w:val="single"/>
        </w:rPr>
      </w:pPr>
      <w:r>
        <w:rPr>
          <w:rFonts w:cs="Arial" w:ascii="Arial" w:hAnsi="Arial"/>
          <w:smallCaps/>
          <w:u w:val="single"/>
        </w:rPr>
        <w:t>Via Hand Delivery</w:t>
      </w:r>
    </w:p>
    <w:p>
      <w:pPr>
        <w:pStyle w:val="BodyText"/>
        <w:spacing w:before="0" w:after="0"/>
        <w:rPr>
          <w:rFonts w:ascii="Arial" w:hAnsi="Arial" w:cs="Arial"/>
        </w:rPr>
      </w:pPr>
      <w:r>
        <w:rPr>
          <w:rFonts w:cs="Arial" w:ascii="Arial" w:hAnsi="Arial"/>
        </w:rPr>
        <w:t>The Honorable Curt L. Hébert, Jr., Chairman</w:t>
      </w:r>
    </w:p>
    <w:p>
      <w:pPr>
        <w:pStyle w:val="BodyText"/>
        <w:spacing w:before="0" w:after="0"/>
        <w:rPr>
          <w:rFonts w:ascii="Arial" w:hAnsi="Arial" w:cs="Arial"/>
        </w:rPr>
      </w:pPr>
      <w:r>
        <w:rPr>
          <w:rFonts w:cs="Arial" w:ascii="Arial" w:hAnsi="Arial"/>
        </w:rPr>
        <w:t>The Honorable Linda Key Breathitt, Commissioner</w:t>
      </w:r>
    </w:p>
    <w:p>
      <w:pPr>
        <w:pStyle w:val="BodyText"/>
        <w:spacing w:before="0" w:after="0"/>
        <w:rPr>
          <w:rFonts w:ascii="Arial" w:hAnsi="Arial" w:cs="Arial"/>
        </w:rPr>
      </w:pPr>
      <w:r>
        <w:rPr>
          <w:rFonts w:cs="Arial" w:ascii="Arial" w:hAnsi="Arial"/>
        </w:rPr>
        <w:t>The Honorable Nora Mead Brownell, Commissioner</w:t>
      </w:r>
    </w:p>
    <w:p>
      <w:pPr>
        <w:pStyle w:val="BodyText"/>
        <w:spacing w:before="0" w:after="0"/>
        <w:rPr>
          <w:rFonts w:ascii="Arial" w:hAnsi="Arial" w:cs="Arial"/>
        </w:rPr>
      </w:pPr>
      <w:r>
        <w:rPr>
          <w:rFonts w:cs="Arial" w:ascii="Arial" w:hAnsi="Arial"/>
        </w:rPr>
        <w:t>The Honorable William L. Massey, Commissioner</w:t>
      </w:r>
    </w:p>
    <w:p>
      <w:pPr>
        <w:pStyle w:val="BodyText"/>
        <w:spacing w:before="0" w:after="0"/>
        <w:rPr>
          <w:rFonts w:ascii="Arial" w:hAnsi="Arial" w:cs="Arial"/>
        </w:rPr>
      </w:pPr>
      <w:r>
        <w:rPr>
          <w:rFonts w:cs="Arial" w:ascii="Arial" w:hAnsi="Arial"/>
        </w:rPr>
        <w:t>The Honorable Pat H. Wood, III, Commissioner</w:t>
      </w:r>
    </w:p>
    <w:p>
      <w:pPr>
        <w:pStyle w:val="BodyText"/>
        <w:spacing w:before="0" w:after="0"/>
        <w:rPr>
          <w:rFonts w:ascii="Arial" w:hAnsi="Arial" w:cs="Arial"/>
        </w:rPr>
      </w:pPr>
      <w:r>
        <w:rPr>
          <w:rFonts w:cs="Arial" w:ascii="Arial" w:hAnsi="Arial"/>
        </w:rPr>
        <w:t>Federal Energy Regulatory Commission</w:t>
      </w:r>
    </w:p>
    <w:p>
      <w:pPr>
        <w:pStyle w:val="BodyText"/>
        <w:spacing w:before="0" w:after="0"/>
        <w:rPr>
          <w:rFonts w:ascii="Arial" w:hAnsi="Arial" w:cs="Arial"/>
        </w:rPr>
      </w:pPr>
      <w:r>
        <w:rPr>
          <w:rFonts w:cs="Arial" w:ascii="Arial" w:hAnsi="Arial"/>
        </w:rPr>
        <w:t>888 First Street, NE</w:t>
      </w:r>
    </w:p>
    <w:p>
      <w:pPr>
        <w:pStyle w:val="BodyText"/>
        <w:rPr>
          <w:rFonts w:ascii="Arial" w:hAnsi="Arial" w:cs="Arial"/>
        </w:rPr>
      </w:pPr>
      <w:r>
        <w:rPr>
          <w:rFonts w:cs="Arial" w:ascii="Arial" w:hAnsi="Arial"/>
        </w:rPr>
        <w:t>Washington, DC  20426</w:t>
      </w:r>
    </w:p>
    <w:p>
      <w:pPr>
        <w:pStyle w:val="BodyText"/>
        <w:spacing w:before="0" w:after="0"/>
        <w:rPr>
          <w:rFonts w:ascii="Arial" w:hAnsi="Arial" w:cs="Arial"/>
        </w:rPr>
      </w:pPr>
      <w:r>
        <w:rPr>
          <w:rFonts w:cs="Arial" w:ascii="Arial" w:hAnsi="Arial"/>
        </w:rPr>
      </w:r>
    </w:p>
    <w:p>
      <w:pPr>
        <w:pStyle w:val="BodyText"/>
        <w:ind w:start="1440" w:end="0"/>
        <w:rPr>
          <w:rFonts w:ascii="Arial" w:hAnsi="Arial" w:cs="Arial"/>
          <w:u w:val="single"/>
        </w:rPr>
      </w:pPr>
      <w:r>
        <w:rPr>
          <w:rFonts w:cs="Arial" w:ascii="Arial" w:hAnsi="Arial"/>
        </w:rPr>
        <w:t xml:space="preserve">RE:  </w:t>
      </w:r>
      <w:r>
        <w:rPr>
          <w:rFonts w:cs="Arial" w:ascii="Arial" w:hAnsi="Arial"/>
          <w:u w:val="single"/>
        </w:rPr>
        <w:t xml:space="preserve">Ameren Corporation </w:t>
      </w:r>
      <w:r>
        <w:rPr>
          <w:rFonts w:cs="Arial" w:ascii="Arial" w:hAnsi="Arial"/>
          <w:i/>
          <w:u w:val="single"/>
        </w:rPr>
        <w:t>et al.</w:t>
      </w:r>
      <w:r>
        <w:rPr>
          <w:rFonts w:cs="Arial" w:ascii="Arial" w:hAnsi="Arial"/>
          <w:u w:val="single"/>
        </w:rPr>
        <w:t xml:space="preserve">, Docket No. RT01-88-000, </w:t>
      </w:r>
      <w:r>
        <w:rPr>
          <w:rFonts w:cs="Arial" w:ascii="Arial" w:hAnsi="Arial"/>
          <w:i/>
          <w:u w:val="single"/>
        </w:rPr>
        <w:t xml:space="preserve">et al. </w:t>
      </w:r>
      <w:r>
        <w:rPr>
          <w:rFonts w:cs="Arial" w:ascii="Arial" w:hAnsi="Arial"/>
          <w:u w:val="single"/>
        </w:rPr>
        <w:t>and</w:t>
      </w:r>
      <w:r>
        <w:rPr>
          <w:rFonts w:cs="Arial" w:ascii="Arial" w:hAnsi="Arial"/>
          <w:i/>
          <w:u w:val="single"/>
        </w:rPr>
        <w:t xml:space="preserve"> </w:t>
      </w:r>
      <w:r>
        <w:rPr>
          <w:rFonts w:cs="Arial" w:ascii="Arial" w:hAnsi="Arial"/>
          <w:u w:val="single"/>
        </w:rPr>
        <w:t>Alliance Companies,</w:t>
      </w:r>
      <w:r>
        <w:rPr>
          <w:rFonts w:cs="Arial" w:ascii="Arial" w:hAnsi="Arial"/>
          <w:i/>
          <w:u w:val="single"/>
        </w:rPr>
        <w:t xml:space="preserve"> </w:t>
      </w:r>
      <w:r>
        <w:rPr>
          <w:rFonts w:cs="Arial" w:ascii="Arial" w:hAnsi="Arial"/>
          <w:u w:val="single"/>
        </w:rPr>
        <w:t>Docket No. ER99-3144-000</w:t>
      </w:r>
      <w:r>
        <w:rPr>
          <w:rFonts w:cs="Arial" w:ascii="Arial" w:hAnsi="Arial"/>
          <w:i/>
          <w:u w:val="single"/>
        </w:rPr>
        <w:t xml:space="preserve"> et al.</w:t>
      </w:r>
    </w:p>
    <w:p>
      <w:pPr>
        <w:pStyle w:val="BodyText"/>
        <w:spacing w:before="0" w:after="0"/>
        <w:rPr>
          <w:rFonts w:ascii="Arial" w:hAnsi="Arial" w:cs="Arial"/>
          <w:u w:val="single"/>
        </w:rPr>
      </w:pPr>
      <w:r>
        <w:rPr>
          <w:rFonts w:cs="Arial" w:ascii="Arial" w:hAnsi="Arial"/>
          <w:u w:val="single"/>
        </w:rPr>
      </w:r>
    </w:p>
    <w:p>
      <w:pPr>
        <w:pStyle w:val="BodyText"/>
        <w:rPr>
          <w:rFonts w:ascii="Arial" w:hAnsi="Arial" w:cs="Arial"/>
        </w:rPr>
      </w:pPr>
      <w:r>
        <w:rPr>
          <w:rFonts w:cs="Arial" w:ascii="Arial" w:hAnsi="Arial"/>
        </w:rPr>
        <w:t>Dear Chairman Hébert and FERC Commissioners:</w:t>
      </w:r>
    </w:p>
    <w:p>
      <w:pPr>
        <w:pStyle w:val="BodyText"/>
        <w:ind w:firstLine="720" w:end="0"/>
        <w:jc w:val="both"/>
        <w:rPr/>
      </w:pPr>
      <w:r>
        <w:rPr>
          <w:rFonts w:cs="Arial" w:ascii="Arial" w:hAnsi="Arial"/>
        </w:rPr>
        <w:t>In Order No. 2000,</w:t>
      </w:r>
      <w:r>
        <w:rPr>
          <w:rStyle w:val="FootnoteCharacters"/>
          <w:rStyle w:val="FootnoteReference"/>
          <w:rFonts w:cs="Arial" w:ascii="Arial" w:hAnsi="Arial"/>
        </w:rPr>
        <w:footnoteReference w:id="2"/>
      </w:r>
      <w:r>
        <w:rPr>
          <w:rFonts w:cs="Arial" w:ascii="Arial" w:hAnsi="Arial"/>
        </w:rPr>
        <w:t xml:space="preserve"> the Commission ordered the Alliance Regional Transmission Organization (“ARTO”) to conduct an open and collaborative stakeholder process to develop rules and standards as part of its approval as a regional transmission organization (“RTO”).</w:t>
      </w:r>
      <w:r>
        <w:rPr>
          <w:rStyle w:val="FootnoteCharacters"/>
          <w:rStyle w:val="FootnoteReference"/>
          <w:rFonts w:cs="Arial" w:ascii="Arial" w:hAnsi="Arial"/>
        </w:rPr>
        <w:footnoteReference w:id="3"/>
      </w:r>
      <w:r>
        <w:rPr>
          <w:rFonts w:cs="Arial" w:ascii="Arial" w:hAnsi="Arial"/>
        </w:rPr>
        <w:t xml:space="preserve">  This stakeholder process commenced on March 22, 2001, with a meeting regarding the ARTO Interconnection Agreement and Interconnection Procedures.  Since then, the ARTO has held other interconnection-related meetings with the stated purpose of soliciting stakeholder comments.  The Electric Power Supply Association</w:t>
      </w:r>
      <w:r>
        <w:rPr>
          <w:rStyle w:val="FootnoteCharacters"/>
          <w:rStyle w:val="FootnoteReference"/>
          <w:rFonts w:cs="Arial" w:ascii="Arial" w:hAnsi="Arial"/>
        </w:rPr>
        <w:footnoteReference w:id="4"/>
      </w:r>
      <w:r>
        <w:rPr>
          <w:rFonts w:cs="Arial" w:ascii="Arial" w:hAnsi="Arial"/>
        </w:rPr>
        <w:t xml:space="preserve"> (EPSA) as well as individual Generators (collectively, the Parties) have been attempting to participate in the ARTO stakeholder process since its inception.  Development of the ARTO, however, has been neither open nor collaborative.  The ARTO has not addressed the Parties’ questions and comments.  The undersigned are thus left with no other choice but to bring these issues to the Commission’s attention.</w:t>
      </w:r>
    </w:p>
    <w:p>
      <w:pPr>
        <w:pStyle w:val="BodyText"/>
        <w:jc w:val="both"/>
        <w:rPr/>
      </w:pPr>
      <w:r>
        <w:rPr>
          <w:rFonts w:cs="Arial" w:ascii="Arial" w:hAnsi="Arial"/>
        </w:rPr>
        <w:tab/>
        <w:t xml:space="preserve">The Parties have attempted to participate in this process according to the rules dictated by the ARTO.  After the first interconnection meeting on March 22, 2001, the generators, as a working group, submitted comments to the ARTO’s proposed Interconnection Agreement and Interconnection Procedures on April 6, 2001, in time to meet the ARTO’s deadline for the filing of generators’ comments.  Three weeks later, the ARTO released its revised draft.  Not only did the ARTO fail to incorporate virtually all of the generators’ comments, the ARTO also failed to provide </w:t>
      </w:r>
      <w:r>
        <w:rPr>
          <w:rFonts w:cs="Arial" w:ascii="Arial" w:hAnsi="Arial"/>
          <w:i/>
        </w:rPr>
        <w:t>any</w:t>
      </w:r>
      <w:r>
        <w:rPr>
          <w:rFonts w:cs="Arial" w:ascii="Arial" w:hAnsi="Arial"/>
        </w:rPr>
        <w:t xml:space="preserve"> explanation for rejecting such comments.  This pattern of conduct has been repeated through several iterations of the draft Interconnection Agreement and Procedures.  The ARTO imposes unreasonable deadlines on generators and gives very little feedback when rejecting generator suggestions.  The issues the ARTO are ignoring are significant, affecting market efficiency and system reliability.</w:t>
      </w:r>
    </w:p>
    <w:p>
      <w:pPr>
        <w:pStyle w:val="Header"/>
        <w:ind w:firstLine="720" w:end="0"/>
        <w:jc w:val="both"/>
        <w:rPr>
          <w:rFonts w:ascii="Arial" w:hAnsi="Arial" w:cs="Arial"/>
        </w:rPr>
      </w:pPr>
      <w:r>
        <w:rPr>
          <w:rFonts w:cs="Arial" w:ascii="Arial" w:hAnsi="Arial"/>
        </w:rPr>
        <w:t xml:space="preserve">As further demonstration of the lack of collaboration in the so-called stakeholder process, the ARTO removed all system upgrade transmission crediting provisions from the latest draft Interconnection Agreement and Interconnection Procedures covered during the June 7-8, 2001, “collaborative” meeting.  Despite the fact that the ARTO acknowledged in earlier Interconnection Agreement drafts and other ARTO documentation that generators were entitled to transmission credits for system upgrades paid for by generators that benefit the entire transmission system, and contrary to FERC precedent, the ARTO now claims that it is exempt from providing such credits and refuses to reinstate the crediting provisions.  The ARTO fails to provide any rational explanation as to why generators within the ARTO are not entitled to transmission credits for their contributions to the network, while generators outside the ARTO, including those within the Midwest Independent System Operator (MISO), are entitled to such credits.  As noted, such an approach is patently inconsistent with Commission precedent, including the Commission’s recent </w:t>
      </w:r>
      <w:r>
        <w:rPr>
          <w:rFonts w:cs="Arial" w:ascii="Arial" w:hAnsi="Arial"/>
          <w:i/>
        </w:rPr>
        <w:t>Consumers Energy, Duke Energy,</w:t>
      </w:r>
      <w:r>
        <w:rPr>
          <w:rFonts w:cs="Arial" w:ascii="Arial" w:hAnsi="Arial"/>
        </w:rPr>
        <w:t xml:space="preserve"> and </w:t>
      </w:r>
      <w:r>
        <w:rPr>
          <w:rFonts w:cs="Arial" w:ascii="Arial" w:hAnsi="Arial"/>
          <w:i/>
        </w:rPr>
        <w:t>Detroit Edison</w:t>
      </w:r>
      <w:r>
        <w:rPr>
          <w:rFonts w:cs="Arial" w:ascii="Arial" w:hAnsi="Arial"/>
        </w:rPr>
        <w:t xml:space="preserve"> Orders.</w:t>
      </w:r>
      <w:r>
        <w:rPr>
          <w:rStyle w:val="FootnoteCharacters"/>
          <w:rStyle w:val="FootnoteReference"/>
          <w:rFonts w:cs="Arial" w:ascii="Arial" w:hAnsi="Arial"/>
        </w:rPr>
        <w:footnoteReference w:id="5"/>
      </w:r>
    </w:p>
    <w:p>
      <w:pPr>
        <w:pStyle w:val="Header"/>
        <w:jc w:val="both"/>
        <w:rPr>
          <w:rFonts w:ascii="Arial" w:hAnsi="Arial" w:cs="Arial"/>
        </w:rPr>
      </w:pPr>
      <w:r>
        <w:rPr>
          <w:rFonts w:cs="Arial" w:ascii="Arial" w:hAnsi="Arial"/>
        </w:rPr>
      </w:r>
    </w:p>
    <w:p>
      <w:pPr>
        <w:pStyle w:val="Header"/>
        <w:ind w:firstLine="720" w:end="0"/>
        <w:jc w:val="both"/>
        <w:rPr/>
      </w:pPr>
      <w:r>
        <w:rPr>
          <w:rFonts w:cs="Arial" w:ascii="Arial" w:hAnsi="Arial"/>
        </w:rPr>
        <w:t xml:space="preserve">The ARTO also has not lived up to its commitment in the Inter-RTO Cooperation Agreement (“Cooperation Agreement”) to form a common </w:t>
      </w:r>
      <w:r>
        <w:rPr>
          <w:rFonts w:cs="Arial" w:ascii="Arial" w:hAnsi="Arial"/>
          <w:i/>
        </w:rPr>
        <w:t>pro forma</w:t>
      </w:r>
      <w:r>
        <w:rPr>
          <w:rFonts w:cs="Arial" w:ascii="Arial" w:hAnsi="Arial"/>
        </w:rPr>
        <w:t xml:space="preserve"> Generator Interconnection Agreement with the MISO.</w:t>
      </w:r>
      <w:r>
        <w:rPr>
          <w:rStyle w:val="FootnoteCharacters"/>
          <w:rStyle w:val="FootnoteReference"/>
          <w:rFonts w:cs="Arial" w:ascii="Arial" w:hAnsi="Arial"/>
        </w:rPr>
        <w:footnoteReference w:id="6"/>
      </w:r>
      <w:r>
        <w:rPr>
          <w:rFonts w:cs="Arial" w:ascii="Arial" w:hAnsi="Arial"/>
        </w:rPr>
        <w:t xml:space="preserve">  The Cooperation Agreement was approved by the Commission as part of the formal Stipulation and Agreement filed with the Commission on March 21, 2001.</w:t>
      </w:r>
      <w:r>
        <w:rPr>
          <w:rStyle w:val="FootnoteCharacters"/>
          <w:rStyle w:val="FootnoteReference"/>
          <w:rFonts w:cs="Arial" w:ascii="Arial" w:hAnsi="Arial"/>
        </w:rPr>
        <w:footnoteReference w:id="7"/>
      </w:r>
      <w:r>
        <w:rPr>
          <w:rFonts w:cs="Arial" w:ascii="Arial" w:hAnsi="Arial"/>
        </w:rPr>
        <w:t xml:space="preserve">  Not only do the ARTO and MISO disagree as to the provision of system upgrade credits, but they also diverge in their treatment of pre-existing generator interconnection agreements.  The ARTO has stated that it plans to make existing generators follow its rules (despite generators’ prior contractual obligations) and execute an operating agreement with the ARTO, which has yet to be shown to generators.  In fact, the ARTO has indicated that it will not release the operating agreement to the stakeholders until after the stakeholder comment period has ended.  The MISO, on the other hand, has stated that it intends to grandfather all existing interconnection agreements.  This uncertainty is detrimental to the energy market and to RTO development.</w:t>
      </w:r>
    </w:p>
    <w:p>
      <w:pPr>
        <w:pStyle w:val="Header"/>
        <w:jc w:val="both"/>
        <w:rPr>
          <w:rFonts w:ascii="Arial" w:hAnsi="Arial" w:cs="Arial"/>
        </w:rPr>
      </w:pPr>
      <w:r>
        <w:rPr>
          <w:rFonts w:cs="Arial" w:ascii="Arial" w:hAnsi="Arial"/>
        </w:rPr>
      </w:r>
    </w:p>
    <w:p>
      <w:pPr>
        <w:pStyle w:val="BodyText"/>
        <w:jc w:val="both"/>
        <w:rPr/>
      </w:pPr>
      <w:r>
        <w:rPr>
          <w:rFonts w:cs="Arial" w:ascii="Arial" w:hAnsi="Arial"/>
        </w:rPr>
        <w:tab/>
        <w:t>The ARTO has represented repeatedly, both in its FERC filings and during its  “stakeholder process,” that it is conducting an open and freely deliberative process during its formation.  The facts demonstrate otherwise.  There has been no “give and take” between the ARTO and its stakeholders.  Indeed, The ARTO’s Web site typifies the ARTO stakeholder process – there is a site for questions, but no site for answers.  If the Parties had known that their feedback and input would be ignored by the ARTO, they would have spent their time drafting protests to the ARTO’s interconnection filings rather than participating in the stakeholder process.  As the Commission noted in its January 24, 2000 Order, “[i]f RTOs are to be responsive to the needs of the market, there must be a meaningful and efficient process for communication and consultation that serves not only the needs of the RTO, but also the needs of the stakeholders.”</w:t>
      </w:r>
      <w:r>
        <w:rPr>
          <w:rStyle w:val="FootnoteCharacters"/>
          <w:rStyle w:val="FootnoteReference"/>
          <w:rFonts w:cs="Arial" w:ascii="Arial" w:hAnsi="Arial"/>
        </w:rPr>
        <w:footnoteReference w:id="8"/>
      </w:r>
      <w:r>
        <w:rPr>
          <w:rFonts w:cs="Arial" w:ascii="Arial" w:hAnsi="Arial"/>
        </w:rPr>
        <w:t xml:space="preserve">  This process has not taken place in the formation of the Alliance RTO.</w:t>
      </w:r>
    </w:p>
    <w:p>
      <w:pPr>
        <w:pStyle w:val="BodyText"/>
        <w:jc w:val="both"/>
        <w:rPr/>
      </w:pPr>
      <w:r>
        <w:rPr>
          <w:rFonts w:cs="Arial" w:ascii="Arial" w:hAnsi="Arial"/>
        </w:rPr>
        <w:tab/>
        <w:t xml:space="preserve">The ARTO need only look as far as PJM or ERCOT for examples of true open and collaborative stakeholder processes built on establishing </w:t>
      </w:r>
      <w:r>
        <w:rPr>
          <w:rFonts w:cs="Arial" w:ascii="Arial" w:hAnsi="Arial"/>
          <w:color w:val="000000"/>
        </w:rPr>
        <w:t xml:space="preserve">consensus, rather than merely serving as a precursor to litigation to resolve these industry issues.  </w:t>
      </w:r>
      <w:r>
        <w:rPr>
          <w:rFonts w:cs="Arial" w:ascii="Arial" w:hAnsi="Arial"/>
        </w:rPr>
        <w:t>Stakeholders in those RTO proceedings were given a fair opportunity to voice their concerns and have a meaningful dialogue with transmission owners.  The ARTO, however, in its apparent reluctance to become accountable to anyone other than its member transmission owners, has chosen to blaze a path far different than the ones that brought success in PJM and ERCOT.</w:t>
      </w:r>
    </w:p>
    <w:p>
      <w:pPr>
        <w:pStyle w:val="BodyText"/>
        <w:jc w:val="both"/>
        <w:rPr>
          <w:rFonts w:ascii="Arial" w:hAnsi="Arial" w:cs="Arial"/>
        </w:rPr>
      </w:pPr>
      <w:r>
        <w:rPr>
          <w:rFonts w:cs="Arial" w:ascii="Arial" w:hAnsi="Arial"/>
        </w:rPr>
        <w:tab/>
        <w:t>The undersigned recommend that as part of the ARTO approval process, the Commission require the ARTO to make a record of all stakeholder comments collected from the beginning of these stakeholder meetings and a record of the ARTO’s responses to each question and comment, and file such questions, comments, and responses with the Commission and all parties on the captioned service list.  This will give the Commission a more accurate depiction of the ARTO “stakeholder” proceedings.  As the Parties have indicated to the ARTO, its actions and inactions will prolong its approval process and, if not checked, force generation out of the ARTO.</w:t>
      </w:r>
    </w:p>
    <w:p>
      <w:pPr>
        <w:pStyle w:val="BodyText"/>
        <w:jc w:val="both"/>
        <w:rPr>
          <w:rFonts w:ascii="Arial" w:hAnsi="Arial" w:cs="Arial"/>
        </w:rPr>
      </w:pPr>
      <w:r>
        <w:rPr>
          <w:rFonts w:cs="Arial" w:ascii="Arial" w:hAnsi="Arial"/>
        </w:rPr>
      </w:r>
    </w:p>
    <w:p>
      <w:pPr>
        <w:pStyle w:val="BodyText"/>
        <w:ind w:firstLine="720" w:start="2880" w:end="0"/>
        <w:rPr>
          <w:rFonts w:ascii="Arial" w:hAnsi="Arial" w:cs="Arial"/>
        </w:rPr>
      </w:pPr>
      <w:r>
        <w:rPr>
          <w:rFonts w:cs="Arial" w:ascii="Arial" w:hAnsi="Arial"/>
        </w:rPr>
        <w:t>Very truly yours,</w:t>
      </w:r>
    </w:p>
    <w:p>
      <w:pPr>
        <w:pStyle w:val="BodyText"/>
        <w:ind w:firstLine="720" w:start="2880" w:end="0"/>
        <w:rPr>
          <w:rFonts w:ascii="Arial" w:hAnsi="Arial" w:cs="Arial"/>
        </w:rPr>
      </w:pPr>
      <w:r>
        <w:rPr>
          <w:rFonts w:cs="Arial" w:ascii="Arial" w:hAnsi="Arial"/>
        </w:rPr>
        <w:t>ELECTRIC POWER SUPPLY ASSOCIATION</w:t>
      </w:r>
    </w:p>
    <w:p>
      <w:pPr>
        <w:pStyle w:val="BodyText"/>
        <w:rPr>
          <w:rFonts w:ascii="Arial" w:hAnsi="Arial" w:cs="Arial"/>
        </w:rPr>
      </w:pPr>
      <w:r>
        <w:rPr>
          <w:rFonts w:cs="Arial" w:ascii="Arial" w:hAnsi="Arial"/>
        </w:rPr>
      </w:r>
    </w:p>
    <w:p>
      <w:pPr>
        <w:pStyle w:val="BodyText"/>
        <w:rPr/>
      </w:pPr>
      <w:r>
        <w:rPr>
          <w:rFonts w:cs="Arial" w:ascii="Arial" w:hAnsi="Arial"/>
        </w:rPr>
        <w:tab/>
        <w:tab/>
        <w:tab/>
        <w:tab/>
        <w:tab/>
      </w:r>
      <w:r>
        <w:rPr>
          <w:rFonts w:cs="Arial" w:ascii="Arial" w:hAnsi="Arial"/>
          <w:u w:val="single"/>
        </w:rPr>
        <w:tab/>
        <w:tab/>
        <w:tab/>
        <w:tab/>
        <w:tab/>
        <w:tab/>
        <w:tab/>
      </w:r>
    </w:p>
    <w:p>
      <w:pPr>
        <w:pStyle w:val="BodyText"/>
        <w:rPr>
          <w:rFonts w:ascii="Arial" w:hAnsi="Arial" w:cs="Arial"/>
          <w:u w:val="single"/>
        </w:rPr>
      </w:pPr>
      <w:r>
        <w:rPr>
          <w:rFonts w:cs="Arial" w:ascii="Arial" w:hAnsi="Arial"/>
          <w:u w:val="single"/>
        </w:rPr>
      </w:r>
    </w:p>
    <w:p>
      <w:pPr>
        <w:pStyle w:val="BodyText"/>
        <w:rPr>
          <w:rFonts w:ascii="Arial" w:hAnsi="Arial" w:cs="Arial"/>
        </w:rPr>
      </w:pPr>
      <w:r>
        <w:rPr>
          <w:rFonts w:cs="Arial" w:ascii="Arial" w:hAnsi="Arial"/>
        </w:rPr>
        <w:tab/>
        <w:tab/>
        <w:tab/>
        <w:tab/>
        <w:tab/>
        <w:tab/>
        <w:tab/>
        <w:t>AND</w:t>
      </w:r>
    </w:p>
    <w:p>
      <w:pPr>
        <w:pStyle w:val="BodyText"/>
        <w:rPr>
          <w:rFonts w:ascii="Arial" w:hAnsi="Arial" w:cs="Arial"/>
        </w:rPr>
      </w:pPr>
      <w:r>
        <w:rPr>
          <w:rFonts w:cs="Arial" w:ascii="Arial" w:hAnsi="Arial"/>
        </w:rPr>
      </w:r>
    </w:p>
    <w:p>
      <w:pPr>
        <w:pStyle w:val="BodyText"/>
        <w:rPr>
          <w:rFonts w:ascii="Arial" w:hAnsi="Arial" w:cs="Arial"/>
        </w:rPr>
      </w:pPr>
      <w:r>
        <w:rPr>
          <w:rFonts w:cs="Arial" w:ascii="Arial" w:hAnsi="Arial"/>
        </w:rPr>
        <w:t>[Generator]</w:t>
        <w:tab/>
        <w:tab/>
        <w:tab/>
        <w:tab/>
        <w:tab/>
        <w:tab/>
        <w:t>[Generator]</w:t>
        <w:tab/>
      </w:r>
    </w:p>
    <w:p>
      <w:pPr>
        <w:pStyle w:val="BodyText"/>
        <w:rPr>
          <w:rFonts w:ascii="Arial" w:hAnsi="Arial" w:cs="Arial"/>
        </w:rPr>
      </w:pPr>
      <w:r>
        <w:rPr>
          <w:rFonts w:cs="Arial" w:ascii="Arial" w:hAnsi="Arial"/>
        </w:rPr>
      </w:r>
    </w:p>
    <w:p>
      <w:pPr>
        <w:pStyle w:val="BodyText"/>
        <w:rPr>
          <w:rFonts w:ascii="Arial" w:hAnsi="Arial" w:cs="Arial"/>
        </w:rPr>
      </w:pPr>
      <w:r>
        <w:rPr>
          <w:rFonts w:cs="Arial" w:ascii="Arial" w:hAnsi="Arial"/>
        </w:rPr>
        <w:t>________________________________</w:t>
        <w:tab/>
        <w:tab/>
        <w:t>________________________________</w:t>
      </w:r>
    </w:p>
    <w:p>
      <w:pPr>
        <w:pStyle w:val="BodyText"/>
        <w:rPr>
          <w:rFonts w:ascii="Arial" w:hAnsi="Arial" w:cs="Arial"/>
        </w:rPr>
      </w:pPr>
      <w:r>
        <w:rPr>
          <w:rFonts w:cs="Arial" w:ascii="Arial" w:hAnsi="Arial"/>
        </w:rPr>
      </w:r>
    </w:p>
    <w:p>
      <w:pPr>
        <w:pStyle w:val="BodyText"/>
        <w:rPr>
          <w:rFonts w:ascii="Arial" w:hAnsi="Arial" w:cs="Arial"/>
        </w:rPr>
      </w:pPr>
      <w:r>
        <w:rPr>
          <w:rFonts w:cs="Arial" w:ascii="Arial" w:hAnsi="Arial"/>
        </w:rPr>
        <w:t>[Generator]</w:t>
        <w:tab/>
        <w:tab/>
        <w:tab/>
        <w:tab/>
        <w:tab/>
        <w:tab/>
        <w:t>[Generator]</w:t>
        <w:tab/>
      </w:r>
    </w:p>
    <w:p>
      <w:pPr>
        <w:pStyle w:val="BodyText"/>
        <w:rPr>
          <w:rFonts w:ascii="Arial" w:hAnsi="Arial" w:cs="Arial"/>
        </w:rPr>
      </w:pPr>
      <w:r>
        <w:rPr>
          <w:rFonts w:cs="Arial" w:ascii="Arial" w:hAnsi="Arial"/>
        </w:rPr>
      </w:r>
    </w:p>
    <w:p>
      <w:pPr>
        <w:pStyle w:val="BodyText"/>
        <w:rPr>
          <w:rFonts w:ascii="Arial" w:hAnsi="Arial" w:cs="Arial"/>
        </w:rPr>
      </w:pPr>
      <w:r>
        <w:rPr>
          <w:rFonts w:cs="Arial" w:ascii="Arial" w:hAnsi="Arial"/>
        </w:rPr>
        <w:t>________________________________</w:t>
        <w:tab/>
        <w:tab/>
        <w:t>________________________________</w:t>
      </w:r>
    </w:p>
    <w:p>
      <w:pPr>
        <w:pStyle w:val="BodyText"/>
        <w:rPr>
          <w:rFonts w:ascii="Arial" w:hAnsi="Arial" w:cs="Arial"/>
        </w:rPr>
      </w:pPr>
      <w:r>
        <w:rPr>
          <w:rFonts w:cs="Arial" w:ascii="Arial" w:hAnsi="Arial"/>
        </w:rPr>
      </w:r>
    </w:p>
    <w:p>
      <w:pPr>
        <w:pStyle w:val="BodyText"/>
        <w:rPr>
          <w:rFonts w:ascii="Arial" w:hAnsi="Arial" w:cs="Arial"/>
        </w:rPr>
      </w:pPr>
      <w:r>
        <w:rPr>
          <w:rFonts w:cs="Arial" w:ascii="Arial" w:hAnsi="Arial"/>
        </w:rPr>
        <w:t>[Generator]</w:t>
        <w:tab/>
        <w:tab/>
        <w:tab/>
        <w:tab/>
        <w:tab/>
        <w:tab/>
        <w:t>[Generator]</w:t>
        <w:tab/>
      </w:r>
    </w:p>
    <w:p>
      <w:pPr>
        <w:pStyle w:val="BodyText"/>
        <w:rPr>
          <w:rFonts w:ascii="Arial" w:hAnsi="Arial" w:cs="Arial"/>
        </w:rPr>
      </w:pPr>
      <w:r>
        <w:rPr>
          <w:rFonts w:cs="Arial" w:ascii="Arial" w:hAnsi="Arial"/>
        </w:rPr>
      </w:r>
    </w:p>
    <w:p>
      <w:pPr>
        <w:pStyle w:val="BodyText"/>
        <w:rPr>
          <w:rFonts w:ascii="Arial" w:hAnsi="Arial" w:cs="Arial"/>
        </w:rPr>
      </w:pPr>
      <w:r>
        <w:rPr>
          <w:rFonts w:cs="Arial" w:ascii="Arial" w:hAnsi="Arial"/>
        </w:rPr>
        <w:t>________________________________</w:t>
        <w:tab/>
        <w:tab/>
        <w:t>________________________________</w:t>
      </w:r>
    </w:p>
    <w:p>
      <w:pPr>
        <w:pStyle w:val="BodyText"/>
        <w:rPr>
          <w:rFonts w:ascii="Arial" w:hAnsi="Arial" w:cs="Arial"/>
        </w:rPr>
      </w:pPr>
      <w:r>
        <w:rPr>
          <w:rFonts w:cs="Arial" w:ascii="Arial" w:hAnsi="Arial"/>
        </w:rPr>
      </w:r>
    </w:p>
    <w:p>
      <w:pPr>
        <w:pStyle w:val="BodyText"/>
        <w:rPr>
          <w:rFonts w:ascii="Arial" w:hAnsi="Arial" w:cs="Arial"/>
        </w:rPr>
      </w:pPr>
      <w:r>
        <w:rPr>
          <w:rFonts w:cs="Arial" w:ascii="Arial" w:hAnsi="Arial"/>
        </w:rPr>
        <w:t>[Generator]</w:t>
        <w:tab/>
        <w:tab/>
        <w:tab/>
        <w:tab/>
        <w:tab/>
        <w:tab/>
        <w:t>[Generator]</w:t>
        <w:tab/>
      </w:r>
    </w:p>
    <w:p>
      <w:pPr>
        <w:pStyle w:val="BodyText"/>
        <w:rPr>
          <w:rFonts w:ascii="Arial" w:hAnsi="Arial" w:cs="Arial"/>
        </w:rPr>
      </w:pPr>
      <w:r>
        <w:rPr>
          <w:rFonts w:cs="Arial" w:ascii="Arial" w:hAnsi="Arial"/>
        </w:rPr>
      </w:r>
    </w:p>
    <w:p>
      <w:pPr>
        <w:pStyle w:val="BodyText"/>
        <w:rPr>
          <w:rFonts w:ascii="Arial" w:hAnsi="Arial" w:cs="Arial"/>
        </w:rPr>
      </w:pPr>
      <w:r>
        <w:rPr>
          <w:rFonts w:cs="Arial" w:ascii="Arial" w:hAnsi="Arial"/>
        </w:rPr>
        <w:t>________________________________</w:t>
        <w:tab/>
        <w:tab/>
        <w:t>________________________________</w:t>
      </w:r>
    </w:p>
    <w:p>
      <w:pPr>
        <w:pStyle w:val="BodyText"/>
        <w:rPr>
          <w:rFonts w:ascii="Arial" w:hAnsi="Arial" w:cs="Arial"/>
        </w:rPr>
      </w:pPr>
      <w:r>
        <w:rPr>
          <w:rFonts w:cs="Arial" w:ascii="Arial" w:hAnsi="Arial"/>
        </w:rPr>
      </w:r>
    </w:p>
    <w:p>
      <w:pPr>
        <w:pStyle w:val="BodyText"/>
        <w:rPr>
          <w:rFonts w:ascii="Arial" w:hAnsi="Arial" w:cs="Arial"/>
        </w:rPr>
      </w:pPr>
      <w:r>
        <w:rPr>
          <w:rFonts w:cs="Arial" w:ascii="Arial" w:hAnsi="Arial"/>
        </w:rPr>
        <w:t>[Generator]</w:t>
        <w:tab/>
        <w:tab/>
        <w:tab/>
        <w:tab/>
        <w:tab/>
        <w:tab/>
        <w:t>[Generator]</w:t>
        <w:tab/>
      </w:r>
    </w:p>
    <w:p>
      <w:pPr>
        <w:pStyle w:val="BodyText"/>
        <w:rPr>
          <w:rFonts w:ascii="Arial" w:hAnsi="Arial" w:cs="Arial"/>
        </w:rPr>
      </w:pPr>
      <w:r>
        <w:rPr>
          <w:rFonts w:cs="Arial" w:ascii="Arial" w:hAnsi="Arial"/>
        </w:rPr>
      </w:r>
    </w:p>
    <w:p>
      <w:pPr>
        <w:pStyle w:val="BodyText"/>
        <w:rPr>
          <w:rFonts w:ascii="Arial" w:hAnsi="Arial" w:cs="Arial"/>
        </w:rPr>
      </w:pPr>
      <w:r>
        <w:rPr>
          <w:rFonts w:cs="Arial" w:ascii="Arial" w:hAnsi="Arial"/>
        </w:rPr>
        <w:t>________________________________</w:t>
        <w:tab/>
        <w:tab/>
        <w:t>________________________________</w:t>
      </w:r>
    </w:p>
    <w:p>
      <w:pPr>
        <w:pStyle w:val="BodyText"/>
        <w:rPr>
          <w:rFonts w:ascii="Arial" w:hAnsi="Arial" w:cs="Arial"/>
        </w:rPr>
      </w:pPr>
      <w:r>
        <w:rPr>
          <w:rFonts w:cs="Arial" w:ascii="Arial" w:hAnsi="Arial"/>
        </w:rPr>
      </w:r>
    </w:p>
    <w:p>
      <w:pPr>
        <w:pStyle w:val="BodyText"/>
        <w:rPr>
          <w:rFonts w:ascii="Arial" w:hAnsi="Arial" w:cs="Arial"/>
        </w:rPr>
      </w:pPr>
      <w:r>
        <w:rPr>
          <w:rFonts w:cs="Arial" w:ascii="Arial" w:hAnsi="Arial"/>
        </w:rPr>
        <w:t>[Generator]</w:t>
        <w:tab/>
        <w:tab/>
        <w:tab/>
        <w:tab/>
        <w:tab/>
        <w:tab/>
        <w:t>[Generator]</w:t>
        <w:tab/>
      </w:r>
    </w:p>
    <w:p>
      <w:pPr>
        <w:pStyle w:val="BodyText"/>
        <w:rPr>
          <w:rFonts w:ascii="Arial" w:hAnsi="Arial" w:cs="Arial"/>
        </w:rPr>
      </w:pPr>
      <w:r>
        <w:rPr>
          <w:rFonts w:cs="Arial" w:ascii="Arial" w:hAnsi="Arial"/>
        </w:rPr>
      </w:r>
    </w:p>
    <w:p>
      <w:pPr>
        <w:pStyle w:val="BodyText"/>
        <w:rPr>
          <w:rFonts w:ascii="Arial" w:hAnsi="Arial" w:cs="Arial"/>
        </w:rPr>
      </w:pPr>
      <w:r>
        <w:rPr>
          <w:rFonts w:cs="Arial" w:ascii="Arial" w:hAnsi="Arial"/>
        </w:rPr>
        <w:t>________________________________</w:t>
        <w:tab/>
        <w:tab/>
        <w:t>________________________________</w:t>
      </w:r>
    </w:p>
    <w:p>
      <w:pPr>
        <w:pStyle w:val="BodyText"/>
        <w:rPr>
          <w:rFonts w:ascii="Arial" w:hAnsi="Arial" w:cs="Arial"/>
        </w:rPr>
      </w:pPr>
      <w:r>
        <w:rPr>
          <w:rFonts w:cs="Arial" w:ascii="Arial" w:hAnsi="Arial"/>
        </w:rPr>
      </w:r>
    </w:p>
    <w:p>
      <w:pPr>
        <w:pStyle w:val="BodyText"/>
        <w:rPr>
          <w:rFonts w:ascii="Arial" w:hAnsi="Arial" w:cs="Arial"/>
        </w:rPr>
      </w:pPr>
      <w:r>
        <w:rPr>
          <w:rFonts w:cs="Arial" w:ascii="Arial" w:hAnsi="Arial"/>
        </w:rPr>
        <w:t>[Generator]</w:t>
        <w:tab/>
        <w:tab/>
        <w:tab/>
        <w:tab/>
        <w:tab/>
        <w:tab/>
        <w:t>[Generator]</w:t>
        <w:tab/>
      </w:r>
    </w:p>
    <w:p>
      <w:pPr>
        <w:pStyle w:val="BodyText"/>
        <w:rPr>
          <w:rFonts w:ascii="Arial" w:hAnsi="Arial" w:cs="Arial"/>
        </w:rPr>
      </w:pPr>
      <w:r>
        <w:rPr>
          <w:rFonts w:cs="Arial" w:ascii="Arial" w:hAnsi="Arial"/>
        </w:rPr>
      </w:r>
    </w:p>
    <w:p>
      <w:pPr>
        <w:pStyle w:val="BodyText"/>
        <w:rPr>
          <w:rFonts w:ascii="Arial" w:hAnsi="Arial" w:cs="Arial"/>
        </w:rPr>
      </w:pPr>
      <w:r>
        <w:rPr>
          <w:rFonts w:cs="Arial" w:ascii="Arial" w:hAnsi="Arial"/>
        </w:rPr>
        <w:t>________________________________</w:t>
        <w:tab/>
        <w:tab/>
        <w:t>________________________________</w:t>
      </w:r>
    </w:p>
    <w:p>
      <w:pPr>
        <w:pStyle w:val="BodyText"/>
        <w:rPr>
          <w:rFonts w:ascii="Arial" w:hAnsi="Arial" w:cs="Arial"/>
        </w:rPr>
      </w:pPr>
      <w:r>
        <w:rPr>
          <w:rFonts w:cs="Arial" w:ascii="Arial" w:hAnsi="Arial"/>
        </w:rPr>
      </w:r>
    </w:p>
    <w:p>
      <w:pPr>
        <w:pStyle w:val="BodyText"/>
        <w:rPr>
          <w:rFonts w:ascii="Arial" w:hAnsi="Arial" w:cs="Arial"/>
        </w:rPr>
      </w:pPr>
      <w:r>
        <w:rPr>
          <w:rFonts w:cs="Arial" w:ascii="Arial" w:hAnsi="Arial"/>
        </w:rPr>
        <w:t>[Generator]</w:t>
        <w:tab/>
        <w:tab/>
        <w:tab/>
        <w:tab/>
        <w:tab/>
        <w:tab/>
        <w:t>[Generator]</w:t>
        <w:tab/>
      </w:r>
    </w:p>
    <w:p>
      <w:pPr>
        <w:pStyle w:val="BodyText"/>
        <w:rPr>
          <w:rFonts w:ascii="Arial" w:hAnsi="Arial" w:cs="Arial"/>
        </w:rPr>
      </w:pPr>
      <w:r>
        <w:rPr>
          <w:rFonts w:cs="Arial" w:ascii="Arial" w:hAnsi="Arial"/>
        </w:rPr>
      </w:r>
    </w:p>
    <w:p>
      <w:pPr>
        <w:pStyle w:val="BodyText"/>
        <w:rPr>
          <w:rFonts w:ascii="Arial" w:hAnsi="Arial" w:cs="Arial"/>
        </w:rPr>
      </w:pPr>
      <w:r>
        <w:rPr>
          <w:rFonts w:cs="Arial" w:ascii="Arial" w:hAnsi="Arial"/>
        </w:rPr>
        <w:t>________________________________</w:t>
        <w:tab/>
        <w:tab/>
        <w:t>________________________________</w:t>
      </w:r>
    </w:p>
    <w:p>
      <w:pPr>
        <w:pStyle w:val="BodyText"/>
        <w:rPr>
          <w:rFonts w:ascii="Arial" w:hAnsi="Arial" w:cs="Arial"/>
        </w:rPr>
      </w:pPr>
      <w:r>
        <w:rPr>
          <w:rFonts w:cs="Arial" w:ascii="Arial" w:hAnsi="Arial"/>
        </w:rPr>
      </w:r>
    </w:p>
    <w:p>
      <w:pPr>
        <w:pStyle w:val="BodyText"/>
        <w:rPr>
          <w:rFonts w:ascii="Arial" w:hAnsi="Arial" w:cs="Arial"/>
        </w:rPr>
      </w:pPr>
      <w:r>
        <w:rPr>
          <w:rFonts w:cs="Arial" w:ascii="Arial" w:hAnsi="Arial"/>
        </w:rPr>
        <w:t>[Generator]</w:t>
        <w:tab/>
        <w:tab/>
        <w:tab/>
        <w:tab/>
        <w:tab/>
        <w:tab/>
        <w:t>[Generator]</w:t>
        <w:tab/>
      </w:r>
    </w:p>
    <w:p>
      <w:pPr>
        <w:pStyle w:val="BodyText"/>
        <w:rPr>
          <w:rFonts w:ascii="Arial" w:hAnsi="Arial" w:cs="Arial"/>
        </w:rPr>
      </w:pPr>
      <w:r>
        <w:rPr>
          <w:rFonts w:cs="Arial" w:ascii="Arial" w:hAnsi="Arial"/>
        </w:rPr>
      </w:r>
    </w:p>
    <w:p>
      <w:pPr>
        <w:pStyle w:val="BodyText"/>
        <w:rPr>
          <w:rFonts w:ascii="Arial" w:hAnsi="Arial" w:cs="Arial"/>
        </w:rPr>
      </w:pPr>
      <w:r>
        <w:rPr>
          <w:rFonts w:cs="Arial" w:ascii="Arial" w:hAnsi="Arial"/>
        </w:rPr>
        <w:t>________________________________</w:t>
        <w:tab/>
        <w:tab/>
        <w:t>________________________________</w:t>
      </w:r>
    </w:p>
    <w:p>
      <w:pPr>
        <w:pStyle w:val="BodyText"/>
        <w:spacing w:before="0" w:after="240"/>
        <w:ind w:hanging="720" w:start="720" w:end="0"/>
        <w:rPr/>
      </w:pPr>
      <w:r>
        <w:rPr>
          <w:rFonts w:cs="Arial" w:ascii="Arial" w:hAnsi="Arial"/>
        </w:rPr>
        <w:t xml:space="preserve">cc:  </w:t>
        <w:tab/>
        <w:t xml:space="preserve">all parties of record in </w:t>
      </w:r>
      <w:r>
        <w:rPr>
          <w:rFonts w:cs="Arial" w:ascii="Arial" w:hAnsi="Arial"/>
          <w:u w:val="single"/>
        </w:rPr>
        <w:t xml:space="preserve">Ameren Corporation </w:t>
      </w:r>
      <w:r>
        <w:rPr>
          <w:rFonts w:cs="Arial" w:ascii="Arial" w:hAnsi="Arial"/>
          <w:i/>
          <w:u w:val="single"/>
        </w:rPr>
        <w:t>et al.</w:t>
      </w:r>
      <w:r>
        <w:rPr>
          <w:rFonts w:cs="Arial" w:ascii="Arial" w:hAnsi="Arial"/>
          <w:u w:val="single"/>
        </w:rPr>
        <w:t xml:space="preserve">, Docket No. RT01-88-000, </w:t>
      </w:r>
      <w:r>
        <w:rPr>
          <w:rFonts w:cs="Arial" w:ascii="Arial" w:hAnsi="Arial"/>
          <w:i/>
          <w:u w:val="single"/>
        </w:rPr>
        <w:t xml:space="preserve">et al. </w:t>
      </w:r>
      <w:r>
        <w:rPr>
          <w:rFonts w:cs="Arial" w:ascii="Arial" w:hAnsi="Arial"/>
          <w:u w:val="single"/>
        </w:rPr>
        <w:t>and</w:t>
      </w:r>
      <w:r>
        <w:rPr>
          <w:rFonts w:cs="Arial" w:ascii="Arial" w:hAnsi="Arial"/>
          <w:i/>
          <w:u w:val="single"/>
        </w:rPr>
        <w:t xml:space="preserve"> </w:t>
      </w:r>
      <w:r>
        <w:rPr>
          <w:rFonts w:cs="Arial" w:ascii="Arial" w:hAnsi="Arial"/>
          <w:u w:val="single"/>
        </w:rPr>
        <w:t>Alliance Companies,</w:t>
      </w:r>
      <w:r>
        <w:rPr>
          <w:rFonts w:cs="Arial" w:ascii="Arial" w:hAnsi="Arial"/>
          <w:i/>
          <w:u w:val="single"/>
        </w:rPr>
        <w:t xml:space="preserve"> </w:t>
      </w:r>
      <w:r>
        <w:rPr>
          <w:rFonts w:cs="Arial" w:ascii="Arial" w:hAnsi="Arial"/>
          <w:u w:val="single"/>
        </w:rPr>
        <w:t>Docket No. ER99-3144-000</w:t>
      </w:r>
      <w:r>
        <w:rPr>
          <w:rFonts w:cs="Arial" w:ascii="Arial" w:hAnsi="Arial"/>
          <w:i/>
          <w:u w:val="single"/>
        </w:rPr>
        <w:t xml:space="preserve"> et al.</w:t>
      </w:r>
    </w:p>
    <w:sectPr>
      <w:headerReference w:type="default" r:id="rId2"/>
      <w:headerReference w:type="first" r:id="rId3"/>
      <w:footerReference w:type="default" r:id="rId4"/>
      <w:footerReference w:type="first" r:id="rId5"/>
      <w:footnotePr>
        <w:numFmt w:val="decimal"/>
      </w:footnotePr>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fldChar w:fldCharType="begin"/>
    </w:r>
    <w:r>
      <w:rPr/>
      <w:instrText xml:space="preserve"> PAGE </w:instrText>
    </w:r>
    <w:r>
      <w:rPr/>
      <w:fldChar w:fldCharType="separate"/>
    </w:r>
    <w:r>
      <w:rPr/>
      <w:t>5</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120"/>
        <w:jc w:val="both"/>
        <w:rPr/>
      </w:pPr>
      <w:r>
        <w:rPr>
          <w:rStyle w:val="FootnoteCharacters"/>
        </w:rPr>
        <w:footnoteRef/>
      </w:r>
      <w:r>
        <w:rPr/>
        <w:tab/>
      </w:r>
      <w:r>
        <w:rPr>
          <w:rFonts w:cs="Arial" w:ascii="Arial" w:hAnsi="Arial"/>
          <w:i/>
        </w:rPr>
        <w:t>Regional Transmission Organizations</w:t>
      </w:r>
      <w:r>
        <w:rPr>
          <w:rFonts w:cs="Arial" w:ascii="Arial" w:hAnsi="Arial"/>
        </w:rPr>
        <w:t xml:space="preserve">, Order No., 2000, 65 Fed. Reg. 809 (Jan. 6, 2000), FERC Stats. &amp; Regs ¶ 31,089 (1999), </w:t>
      </w:r>
      <w:r>
        <w:rPr>
          <w:rFonts w:cs="Arial" w:ascii="Arial" w:hAnsi="Arial"/>
          <w:i/>
        </w:rPr>
        <w:t>order on reh’g</w:t>
      </w:r>
      <w:r>
        <w:rPr>
          <w:rFonts w:cs="Arial" w:ascii="Arial" w:hAnsi="Arial"/>
        </w:rPr>
        <w:t>, Order No. 2000-A, 65 Fed. Reg. 12,088 (Mar. 8, 2000), FERC Stats. &amp; Regs. ¶ 31,092 (2000).</w:t>
      </w:r>
    </w:p>
  </w:footnote>
  <w:footnote w:id="3">
    <w:p>
      <w:pPr>
        <w:pStyle w:val="FootnoteText"/>
        <w:spacing w:before="0" w:after="120"/>
        <w:ind w:hanging="360" w:start="360" w:end="0"/>
        <w:rPr/>
      </w:pPr>
      <w:r>
        <w:rPr>
          <w:rStyle w:val="FootnoteCharacters"/>
        </w:rPr>
        <w:footnoteRef/>
      </w:r>
      <w:r>
        <w:rPr>
          <w:rFonts w:cs="Arial" w:ascii="Arial" w:hAnsi="Arial"/>
        </w:rPr>
        <w:tab/>
      </w:r>
      <w:r>
        <w:rPr>
          <w:rFonts w:cs="Arial" w:ascii="Arial" w:hAnsi="Arial"/>
          <w:i/>
        </w:rPr>
        <w:t>Alliance Cos.,</w:t>
      </w:r>
      <w:r>
        <w:rPr>
          <w:rFonts w:cs="Arial" w:ascii="Arial" w:hAnsi="Arial"/>
        </w:rPr>
        <w:t xml:space="preserve"> 94 FERC ¶ 61,070, </w:t>
      </w:r>
      <w:r>
        <w:rPr>
          <w:rFonts w:cs="Arial" w:ascii="Arial" w:hAnsi="Arial"/>
          <w:i/>
        </w:rPr>
        <w:t>reh’g denied</w:t>
      </w:r>
      <w:r>
        <w:rPr>
          <w:rFonts w:cs="Arial" w:ascii="Arial" w:hAnsi="Arial"/>
        </w:rPr>
        <w:t>, 95 FERC ¶ 61,182 (2001).</w:t>
      </w:r>
    </w:p>
  </w:footnote>
  <w:footnote w:id="4">
    <w:p>
      <w:pPr>
        <w:pStyle w:val="FootnoteText"/>
        <w:spacing w:before="0" w:after="120"/>
        <w:ind w:hanging="360" w:start="360" w:end="0"/>
        <w:rPr/>
      </w:pPr>
      <w:r>
        <w:rPr>
          <w:rStyle w:val="FootnoteCharacters"/>
        </w:rPr>
        <w:footnoteRef/>
      </w:r>
      <w:r>
        <w:rPr>
          <w:rFonts w:cs="Arial" w:ascii="Arial" w:hAnsi="Arial"/>
        </w:rPr>
        <w:t xml:space="preserve"> </w:t>
      </w:r>
      <w:r>
        <w:rPr>
          <w:rFonts w:cs="Arial" w:ascii="Arial" w:hAnsi="Arial"/>
        </w:rPr>
        <w:tab/>
        <w:t>As the national trade association representing competitive power suppliers active in U.S. and global power markets, EPSA has supported and participated in various RTO stakeholder processes across the country.  EPSA’s members, who include power generators, power marketers and suppliers of goods and services in the electric power supply industry, share a commitment to bringing the benefits of competition to all electric customers.  As stakeholders, their expertise, experience and resource base add value to the RTO development process and offer an RTO additional credibility.  The comments contained in this letter represent the position of EPSA as an organization, but not necessarily the view of any particular member with respect to any issue.</w:t>
      </w:r>
    </w:p>
  </w:footnote>
  <w:footnote w:id="5">
    <w:p>
      <w:pPr>
        <w:pStyle w:val="FootnoteText"/>
        <w:spacing w:before="0" w:after="120"/>
        <w:jc w:val="both"/>
        <w:rPr/>
      </w:pPr>
      <w:r>
        <w:rPr>
          <w:rStyle w:val="FootnoteCharacters"/>
        </w:rPr>
        <w:footnoteRef/>
      </w:r>
      <w:r>
        <w:rPr>
          <w:rFonts w:cs="Arial" w:ascii="Arial" w:hAnsi="Arial"/>
        </w:rPr>
        <w:tab/>
      </w:r>
      <w:r>
        <w:rPr>
          <w:rFonts w:cs="Arial" w:ascii="Arial" w:hAnsi="Arial"/>
          <w:i/>
        </w:rPr>
        <w:t>See Consumers Energy Co</w:t>
      </w:r>
      <w:r>
        <w:rPr>
          <w:rFonts w:cs="Arial" w:ascii="Arial" w:hAnsi="Arial"/>
        </w:rPr>
        <w:t xml:space="preserve">., 95 FERC ¶ 61,233 at 61,804 (2001), </w:t>
      </w:r>
      <w:r>
        <w:rPr>
          <w:rFonts w:cs="Arial" w:ascii="Arial" w:hAnsi="Arial"/>
          <w:i/>
        </w:rPr>
        <w:t>reh’g pending;</w:t>
      </w:r>
      <w:r>
        <w:rPr>
          <w:rFonts w:cs="Arial" w:ascii="Arial" w:hAnsi="Arial"/>
        </w:rPr>
        <w:t xml:space="preserve"> </w:t>
      </w:r>
      <w:r>
        <w:rPr>
          <w:rFonts w:cs="Arial" w:ascii="Arial" w:hAnsi="Arial"/>
          <w:i/>
        </w:rPr>
        <w:t>Duke Energy Corp</w:t>
      </w:r>
      <w:r>
        <w:rPr>
          <w:rFonts w:cs="Arial" w:ascii="Arial" w:hAnsi="Arial"/>
        </w:rPr>
        <w:t xml:space="preserve">., 95 FERC ¶ 61,279 (2001); </w:t>
      </w:r>
      <w:r>
        <w:rPr>
          <w:rFonts w:cs="Arial" w:ascii="Arial" w:hAnsi="Arial"/>
          <w:i/>
        </w:rPr>
        <w:t>Detroit Edison Co.</w:t>
      </w:r>
      <w:r>
        <w:rPr>
          <w:rFonts w:cs="Arial" w:ascii="Arial" w:hAnsi="Arial"/>
        </w:rPr>
        <w:t>, 95 FERC ¶ 61,415 (2001).</w:t>
      </w:r>
    </w:p>
  </w:footnote>
  <w:footnote w:id="6">
    <w:p>
      <w:pPr>
        <w:pStyle w:val="FootnoteText"/>
        <w:spacing w:before="0" w:after="120"/>
        <w:ind w:hanging="360" w:start="360" w:end="0"/>
        <w:rPr/>
      </w:pPr>
      <w:r>
        <w:rPr>
          <w:rStyle w:val="FootnoteCharacters"/>
        </w:rPr>
        <w:footnoteRef/>
      </w:r>
      <w:r>
        <w:rPr>
          <w:rFonts w:cs="Arial" w:ascii="Arial" w:hAnsi="Arial"/>
        </w:rPr>
        <w:t xml:space="preserve"> </w:t>
      </w:r>
      <w:r>
        <w:rPr>
          <w:rFonts w:cs="Arial" w:ascii="Arial" w:hAnsi="Arial"/>
        </w:rPr>
        <w:tab/>
      </w:r>
      <w:r>
        <w:rPr>
          <w:rFonts w:cs="Arial" w:ascii="Arial" w:hAnsi="Arial"/>
          <w:i/>
        </w:rPr>
        <w:t>See Illinois Power Co.</w:t>
      </w:r>
      <w:r>
        <w:rPr>
          <w:rFonts w:cs="Arial" w:ascii="Arial" w:hAnsi="Arial"/>
        </w:rPr>
        <w:t xml:space="preserve">, Docket No. ER01-123-000, </w:t>
      </w:r>
      <w:r>
        <w:rPr>
          <w:rFonts w:cs="Arial" w:ascii="Arial" w:hAnsi="Arial"/>
          <w:i/>
        </w:rPr>
        <w:t>et al.</w:t>
      </w:r>
      <w:r>
        <w:rPr>
          <w:rFonts w:cs="Arial" w:ascii="Arial" w:hAnsi="Arial"/>
        </w:rPr>
        <w:t>, (filed Mar. 21, 2001).</w:t>
      </w:r>
    </w:p>
  </w:footnote>
  <w:footnote w:id="7">
    <w:p>
      <w:pPr>
        <w:pStyle w:val="FootnoteText"/>
        <w:spacing w:before="0" w:after="120"/>
        <w:ind w:hanging="360" w:start="360" w:end="0"/>
        <w:rPr/>
      </w:pPr>
      <w:r>
        <w:rPr>
          <w:rStyle w:val="FootnoteCharacters"/>
        </w:rPr>
        <w:footnoteRef/>
      </w:r>
      <w:r>
        <w:rPr>
          <w:rFonts w:cs="Arial" w:ascii="Arial" w:hAnsi="Arial"/>
        </w:rPr>
        <w:tab/>
      </w:r>
      <w:r>
        <w:rPr>
          <w:rFonts w:cs="Arial" w:ascii="Arial" w:hAnsi="Arial"/>
          <w:i/>
        </w:rPr>
        <w:t>See</w:t>
      </w:r>
      <w:r>
        <w:rPr>
          <w:rFonts w:cs="Arial" w:ascii="Arial" w:hAnsi="Arial"/>
        </w:rPr>
        <w:t xml:space="preserve"> 95 FERC ¶ 61,183 at ______ (2001).</w:t>
      </w:r>
    </w:p>
  </w:footnote>
  <w:footnote w:id="8">
    <w:p>
      <w:pPr>
        <w:pStyle w:val="FootnoteText"/>
        <w:spacing w:before="0" w:after="120"/>
        <w:ind w:hanging="360" w:start="360" w:end="0"/>
        <w:rPr/>
      </w:pPr>
      <w:r>
        <w:rPr>
          <w:rStyle w:val="FootnoteCharacters"/>
        </w:rPr>
        <w:footnoteRef/>
      </w:r>
      <w:r>
        <w:rPr>
          <w:rFonts w:cs="Arial" w:ascii="Arial" w:hAnsi="Arial"/>
          <w:i/>
        </w:rPr>
        <w:tab/>
        <w:t>Alliance Cos</w:t>
      </w:r>
      <w:r>
        <w:rPr>
          <w:rFonts w:cs="Arial" w:ascii="Arial" w:hAnsi="Arial"/>
        </w:rPr>
        <w:t>., 94 FERC at 61,304.</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720"/>
        <w:tab w:val="center" w:pos="4680" w:leader="none"/>
        <w:tab w:val="right" w:pos="9360" w:leader="none"/>
      </w:tabs>
      <w:jc w:val="end"/>
      <w:rPr>
        <w:b/>
        <w:lang w:val="en-US" w:eastAsia="en-US"/>
      </w:rPr>
    </w:pPr>
    <w:r>
      <w:rPr>
        <w:b/>
        <w:lang w:val="en-US" w:eastAsia="en-US"/>
      </w:rPr>
      <w:t>PRIVILEGED AND CONFIDENTIAL</w:t>
    </w:r>
  </w:p>
  <w:p>
    <w:pPr>
      <w:pStyle w:val="Header"/>
      <w:tabs>
        <w:tab w:val="clear" w:pos="720"/>
        <w:tab w:val="center" w:pos="4680" w:leader="none"/>
        <w:tab w:val="right" w:pos="9360" w:leader="none"/>
      </w:tabs>
      <w:jc w:val="end"/>
      <w:rPr>
        <w:b/>
        <w:lang w:val="en-US" w:eastAsia="en-US"/>
      </w:rPr>
    </w:pPr>
    <w:r>
      <w:rPr>
        <w:b/>
        <w:lang w:val="en-US" w:eastAsia="en-US"/>
      </w:rPr>
      <w:t>DO NOT RELEASE</w:t>
    </w:r>
  </w:p>
  <w:p>
    <w:pPr>
      <w:pStyle w:val="Header"/>
      <w:tabs>
        <w:tab w:val="clear" w:pos="720"/>
        <w:tab w:val="center" w:pos="4680" w:leader="none"/>
        <w:tab w:val="right" w:pos="9360" w:leader="none"/>
      </w:tabs>
      <w:jc w:val="end"/>
      <w:rPr>
        <w:b/>
        <w:lang w:val="en-US" w:eastAsia="en-US"/>
      </w:rPr>
    </w:pPr>
    <w:r>
      <w:rPr>
        <w:b/>
        <w:lang w:val="en-US" w:eastAsia="en-US"/>
      </w:rPr>
      <w:t>REVISED DRAFT – June 28, 2001</w:t>
    </w:r>
  </w:p>
  <w:p>
    <w:pPr>
      <w:pStyle w:val="Header"/>
      <w:tabs>
        <w:tab w:val="clear" w:pos="720"/>
        <w:tab w:val="center" w:pos="4680" w:leader="none"/>
        <w:tab w:val="right" w:pos="9360" w:leader="none"/>
      </w:tabs>
      <w:jc w:val="end"/>
      <w:rPr>
        <w:b/>
        <w:lang w:val="en-US" w:eastAsia="en-US"/>
      </w:rPr>
    </w:pPr>
    <w:r>
      <w:rPr>
        <w:b/>
        <w:lang w:val="en-US" w:eastAsia="en-US"/>
      </w:rPr>
    </w:r>
  </w:p>
  <w:p>
    <w:pPr>
      <w:pStyle w:val="Header"/>
      <w:tabs>
        <w:tab w:val="clear" w:pos="720"/>
        <w:tab w:val="center" w:pos="4680" w:leader="none"/>
        <w:tab w:val="right" w:pos="9360" w:leader="none"/>
      </w:tabs>
      <w:jc w:val="end"/>
      <w:rPr>
        <w:b/>
        <w:lang w:val="en-US" w:eastAsia="en-US"/>
      </w:rPr>
    </w:pPr>
    <w:r>
      <w:rPr>
        <w:b/>
        <w:lang w:val="en-US" w:eastAsia="en-US"/>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720"/>
        <w:tab w:val="center" w:pos="4680" w:leader="none"/>
        <w:tab w:val="right" w:pos="9360" w:leader="none"/>
      </w:tabs>
      <w:jc w:val="end"/>
      <w:rPr>
        <w:b/>
        <w:lang w:val="en-US" w:eastAsia="en-US"/>
      </w:rPr>
    </w:pPr>
    <w:r>
      <w:rPr>
        <w:b/>
        <w:lang w:val="en-US" w:eastAsia="en-US"/>
      </w:rPr>
      <w:t>PRIVILEGED AND CONFIDENTIAL</w:t>
    </w:r>
  </w:p>
  <w:p>
    <w:pPr>
      <w:pStyle w:val="Header"/>
      <w:tabs>
        <w:tab w:val="clear" w:pos="720"/>
        <w:tab w:val="center" w:pos="4680" w:leader="none"/>
        <w:tab w:val="right" w:pos="9360" w:leader="none"/>
      </w:tabs>
      <w:jc w:val="end"/>
      <w:rPr>
        <w:b/>
        <w:lang w:val="en-US" w:eastAsia="en-US"/>
      </w:rPr>
    </w:pPr>
    <w:r>
      <w:rPr>
        <w:b/>
        <w:lang w:val="en-US" w:eastAsia="en-US"/>
      </w:rPr>
      <w:t>DO NOT RELEASE</w:t>
    </w:r>
  </w:p>
  <w:p>
    <w:pPr>
      <w:pStyle w:val="Header"/>
      <w:tabs>
        <w:tab w:val="clear" w:pos="720"/>
        <w:tab w:val="center" w:pos="4680" w:leader="none"/>
        <w:tab w:val="right" w:pos="9360" w:leader="none"/>
      </w:tabs>
      <w:jc w:val="end"/>
      <w:rPr>
        <w:b/>
        <w:lang w:val="en-US" w:eastAsia="en-US"/>
      </w:rPr>
    </w:pPr>
    <w:r>
      <w:rPr>
        <w:b/>
        <w:lang w:val="en-US" w:eastAsia="en-US"/>
      </w:rPr>
      <w:t>REVISED DRAFT – June 28, 2001</w:t>
    </w:r>
  </w:p>
  <w:p>
    <w:pPr>
      <w:pStyle w:val="Header"/>
      <w:tabs>
        <w:tab w:val="clear" w:pos="720"/>
        <w:tab w:val="center" w:pos="4680" w:leader="none"/>
        <w:tab w:val="right" w:pos="9360" w:leader="none"/>
      </w:tabs>
      <w:jc w:val="end"/>
      <w:rPr>
        <w:b/>
        <w:lang w:val="en-US" w:eastAsia="en-US"/>
      </w:rPr>
    </w:pPr>
    <w:r>
      <w:rPr>
        <w:b/>
        <w:lang w:val="en-US" w:eastAsia="en-US"/>
      </w:rPr>
    </w:r>
  </w:p>
  <w:p>
    <w:pPr>
      <w:pStyle w:val="Header"/>
      <w:tabs>
        <w:tab w:val="clear" w:pos="720"/>
        <w:tab w:val="center" w:pos="4680" w:leader="none"/>
        <w:tab w:val="right" w:pos="9360" w:leader="none"/>
      </w:tabs>
      <w:jc w:val="end"/>
      <w:rPr>
        <w:b/>
        <w:lang w:val="en-US" w:eastAsia="en-US"/>
      </w:rPr>
    </w:pPr>
    <w:r>
      <w:rPr>
        <w:b/>
        <w:lang w:val="en-US" w:eastAsia="en-U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720"/>
        </w:tabs>
        <w:ind w:start="720" w:hanging="720"/>
      </w:pPr>
      <w:rPr>
        <w:u w:val="none"/>
      </w:rPr>
    </w:lvl>
    <w:lvl w:ilvl="1">
      <w:start w:val="1"/>
      <w:pStyle w:val="Heading2"/>
      <w:numFmt w:val="lowerLetter"/>
      <w:lvlText w:val="(%2)"/>
      <w:lvlJc w:val="start"/>
      <w:pPr>
        <w:tabs>
          <w:tab w:val="num" w:pos="1440"/>
        </w:tabs>
        <w:ind w:start="1440" w:hanging="720"/>
      </w:pPr>
      <w:rPr>
        <w:u w:val="none"/>
      </w:rPr>
    </w:lvl>
    <w:lvl w:ilvl="2">
      <w:start w:val="1"/>
      <w:pStyle w:val="Heading3"/>
      <w:numFmt w:val="lowerRoman"/>
      <w:lvlText w:val="(%3)"/>
      <w:lvlJc w:val="start"/>
      <w:pPr>
        <w:tabs>
          <w:tab w:val="num" w:pos="2160"/>
        </w:tabs>
        <w:ind w:start="2160" w:hanging="720"/>
      </w:pPr>
      <w:rPr>
        <w:u w:val="none"/>
      </w:rPr>
    </w:lvl>
    <w:lvl w:ilvl="3">
      <w:start w:val="1"/>
      <w:pStyle w:val="Heading4"/>
      <w:numFmt w:val="upperLetter"/>
      <w:lvlText w:val="(%4)"/>
      <w:lvlJc w:val="start"/>
      <w:pPr>
        <w:tabs>
          <w:tab w:val="num" w:pos="2880"/>
        </w:tabs>
        <w:ind w:start="2880" w:hanging="720"/>
      </w:pPr>
      <w:rPr>
        <w:u w:val="none"/>
      </w:rPr>
    </w:lvl>
    <w:lvl w:ilvl="4">
      <w:start w:val="1"/>
      <w:pStyle w:val="Heading5"/>
      <w:numFmt w:val="decimal"/>
      <w:lvlText w:val="(%5)"/>
      <w:lvlJc w:val="start"/>
      <w:pPr>
        <w:tabs>
          <w:tab w:val="num" w:pos="3600"/>
        </w:tabs>
        <w:ind w:start="3600" w:hanging="720"/>
      </w:pPr>
      <w:rPr>
        <w:u w:val="none"/>
      </w:rPr>
    </w:lvl>
    <w:lvl w:ilvl="5">
      <w:start w:val="1"/>
      <w:pStyle w:val="Heading6"/>
      <w:numFmt w:val="lowerLetter"/>
      <w:lvlText w:val="(%6)"/>
      <w:lvlJc w:val="start"/>
      <w:pPr>
        <w:tabs>
          <w:tab w:val="num" w:pos="4320"/>
        </w:tabs>
        <w:ind w:start="4320" w:hanging="720"/>
      </w:pPr>
      <w:rPr>
        <w:u w:val="none"/>
      </w:rPr>
    </w:lvl>
    <w:lvl w:ilvl="6">
      <w:start w:val="1"/>
      <w:pStyle w:val="Heading7"/>
      <w:numFmt w:val="upperRoman"/>
      <w:lvlText w:val="%7."/>
      <w:lvlJc w:val="start"/>
      <w:pPr>
        <w:tabs>
          <w:tab w:val="num" w:pos="1440"/>
        </w:tabs>
        <w:ind w:start="1440" w:hanging="720"/>
      </w:pPr>
      <w:rPr>
        <w:u w:val="none"/>
      </w:rPr>
    </w:lvl>
    <w:lvl w:ilvl="7">
      <w:start w:val="1"/>
      <w:pStyle w:val="Heading8"/>
      <w:numFmt w:val="upperLetter"/>
      <w:lvlText w:val="%8."/>
      <w:lvlJc w:val="start"/>
      <w:pPr>
        <w:tabs>
          <w:tab w:val="num" w:pos="2160"/>
        </w:tabs>
        <w:ind w:start="2160" w:hanging="720"/>
      </w:pPr>
      <w:rPr>
        <w:u w:val="none"/>
      </w:rPr>
    </w:lvl>
    <w:lvl w:ilvl="8">
      <w:start w:val="1"/>
      <w:pStyle w:val="Heading9"/>
      <w:numFmt w:val="decimal"/>
      <w:lvlText w:val="%9."/>
      <w:lvlJc w:val="start"/>
      <w:pPr>
        <w:tabs>
          <w:tab w:val="num" w:pos="2880"/>
        </w:tabs>
        <w:ind w:start="2880" w:hanging="720"/>
      </w:pPr>
      <w:rPr>
        <w:u w:val="none"/>
      </w:rPr>
    </w:lvl>
  </w:abstractNum>
  <w:abstractNum w:abstractNumId="2">
    <w:lvl w:ilvl="0">
      <w:start w:val="1"/>
      <w:numFmt w:val="lowerRoman"/>
      <w:lvlText w:val="(%1)"/>
      <w:lvlJc w:val="start"/>
      <w:pPr>
        <w:tabs>
          <w:tab w:val="num" w:pos="1440"/>
        </w:tabs>
        <w:ind w:start="1440" w:hanging="720"/>
      </w:pPr>
    </w:lvl>
  </w:abstractNum>
  <w:abstractNum w:abstractNumId="3">
    <w:lvl w:ilvl="0">
      <w:start w:val="1"/>
      <w:numFmt w:val="bullet"/>
      <w:lvlText w:val=""/>
      <w:lvlJc w:val="start"/>
      <w:pPr>
        <w:tabs>
          <w:tab w:val="num" w:pos="1080"/>
        </w:tabs>
        <w:ind w:start="108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abstractNum w:abstractNumId="6">
    <w:lvl w:ilvl="0">
      <w:start w:val="1"/>
      <w:numFmt w:val="decimal"/>
      <w:lvlText w:val="%1."/>
      <w:lvlJc w:val="start"/>
      <w:pPr>
        <w:tabs>
          <w:tab w:val="num" w:pos="720"/>
        </w:tabs>
        <w:ind w:start="720" w:hanging="72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85"/>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2"/>
    <w:qFormat/>
    <w:pPr>
      <w:numPr>
        <w:ilvl w:val="0"/>
        <w:numId w:val="1"/>
      </w:numPr>
      <w:spacing w:before="0" w:after="240"/>
      <w:outlineLvl w:val="0"/>
    </w:pPr>
    <w:rPr/>
  </w:style>
  <w:style w:type="paragraph" w:styleId="Heading2">
    <w:name w:val="heading 2"/>
    <w:basedOn w:val="Normal"/>
    <w:next w:val="BodyText"/>
    <w:qFormat/>
    <w:pPr>
      <w:numPr>
        <w:ilvl w:val="1"/>
        <w:numId w:val="1"/>
      </w:numPr>
      <w:spacing w:before="0" w:after="240"/>
      <w:outlineLvl w:val="1"/>
    </w:pPr>
    <w:rPr/>
  </w:style>
  <w:style w:type="paragraph" w:styleId="Heading3">
    <w:name w:val="heading 3"/>
    <w:basedOn w:val="Normal"/>
    <w:next w:val="BodyText"/>
    <w:qFormat/>
    <w:pPr>
      <w:numPr>
        <w:ilvl w:val="2"/>
        <w:numId w:val="1"/>
      </w:numPr>
      <w:spacing w:before="0" w:after="240"/>
      <w:outlineLvl w:val="2"/>
    </w:pPr>
    <w:rPr/>
  </w:style>
  <w:style w:type="paragraph" w:styleId="Heading4">
    <w:name w:val="heading 4"/>
    <w:basedOn w:val="Normal"/>
    <w:next w:val="BodyText"/>
    <w:qFormat/>
    <w:pPr>
      <w:numPr>
        <w:ilvl w:val="3"/>
        <w:numId w:val="1"/>
      </w:numPr>
      <w:spacing w:before="0" w:after="240"/>
      <w:outlineLvl w:val="3"/>
    </w:pPr>
    <w:rPr/>
  </w:style>
  <w:style w:type="paragraph" w:styleId="Heading5">
    <w:name w:val="heading 5"/>
    <w:basedOn w:val="Normal"/>
    <w:next w:val="BodyText"/>
    <w:qFormat/>
    <w:pPr>
      <w:numPr>
        <w:ilvl w:val="4"/>
        <w:numId w:val="1"/>
      </w:numPr>
      <w:spacing w:before="0" w:after="240"/>
      <w:outlineLvl w:val="4"/>
    </w:pPr>
    <w:rPr/>
  </w:style>
  <w:style w:type="paragraph" w:styleId="Heading6">
    <w:name w:val="heading 6"/>
    <w:basedOn w:val="Normal"/>
    <w:next w:val="BodyText"/>
    <w:qFormat/>
    <w:pPr>
      <w:numPr>
        <w:ilvl w:val="5"/>
        <w:numId w:val="1"/>
      </w:numPr>
      <w:spacing w:before="0" w:after="240"/>
      <w:outlineLvl w:val="5"/>
    </w:pPr>
    <w:rPr/>
  </w:style>
  <w:style w:type="paragraph" w:styleId="Heading7">
    <w:name w:val="heading 7"/>
    <w:basedOn w:val="Normal"/>
    <w:next w:val="BodyText2"/>
    <w:qFormat/>
    <w:pPr>
      <w:numPr>
        <w:ilvl w:val="6"/>
        <w:numId w:val="1"/>
      </w:numPr>
      <w:spacing w:before="0" w:after="240"/>
      <w:outlineLvl w:val="6"/>
    </w:pPr>
    <w:rPr/>
  </w:style>
  <w:style w:type="paragraph" w:styleId="Heading8">
    <w:name w:val="heading 8"/>
    <w:basedOn w:val="Normal"/>
    <w:next w:val="BodyText"/>
    <w:qFormat/>
    <w:pPr>
      <w:numPr>
        <w:ilvl w:val="7"/>
        <w:numId w:val="1"/>
      </w:numPr>
      <w:spacing w:before="0" w:after="240"/>
      <w:outlineLvl w:val="7"/>
    </w:pPr>
    <w:rPr/>
  </w:style>
  <w:style w:type="paragraph" w:styleId="Heading9">
    <w:name w:val="heading 9"/>
    <w:basedOn w:val="Normal"/>
    <w:next w:val="BodyText"/>
    <w:qFormat/>
    <w:pPr>
      <w:numPr>
        <w:ilvl w:val="8"/>
        <w:numId w:val="1"/>
      </w:numPr>
      <w:spacing w:before="0" w:after="240"/>
      <w:outlineLvl w:val="8"/>
    </w:pPr>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u w:val="none"/>
    </w:rPr>
  </w:style>
  <w:style w:type="character" w:styleId="WW8Num16z0">
    <w:name w:val="WW8Num16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Wingdings" w:hAnsi="Wingdings" w:cs="Wingdings"/>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8z0">
    <w:name w:val="WW8Num28z0"/>
    <w:qFormat/>
    <w:rPr>
      <w:rFonts w:ascii="Wingdings" w:hAnsi="Wingdings" w:cs="Wingdings"/>
    </w:rPr>
  </w:style>
  <w:style w:type="character" w:styleId="WW8Num29z0">
    <w:name w:val="WW8Num29z0"/>
    <w:qFormat/>
    <w:rPr>
      <w:rFonts w:ascii="Symbol" w:hAnsi="Symbol" w:cs="Symbol"/>
    </w:rPr>
  </w:style>
  <w:style w:type="character" w:styleId="WW8Num31z0">
    <w:name w:val="WW8Num31z0"/>
    <w:qFormat/>
    <w:rPr>
      <w:rFonts w:ascii="Symbol" w:hAnsi="Symbol" w:cs="Symbol"/>
    </w:rPr>
  </w:style>
  <w:style w:type="character" w:styleId="DefaultParagraphFont">
    <w:name w:val="Default Paragraph Font"/>
    <w:qFormat/>
    <w:rPr/>
  </w:style>
  <w:style w:type="character" w:styleId="CommentReference">
    <w:name w:val="Comment Reference"/>
    <w:basedOn w:val="DefaultParagraphFont"/>
    <w:qFormat/>
    <w:rPr>
      <w:rFonts w:ascii="Times New Roman" w:hAnsi="Times New Roman" w:cs="Times New Roman"/>
      <w:color w:val="FF0000"/>
      <w:sz w:val="16"/>
    </w:rPr>
  </w:style>
  <w:style w:type="character" w:styleId="FootnoteCharacters">
    <w:name w:val="Footnote Characters"/>
    <w:basedOn w:val="DefaultParagraphFont"/>
    <w:qFormat/>
    <w:rPr>
      <w:color w:val="auto"/>
      <w:sz w:val="16"/>
      <w:vertAlign w:val="superscript"/>
    </w:rPr>
  </w:style>
  <w:style w:type="character" w:styleId="EndnoteCharacters">
    <w:name w:val="Endnote Characters"/>
    <w:basedOn w:val="DefaultParagraphFont"/>
    <w:qFormat/>
    <w:rPr>
      <w:sz w:val="16"/>
      <w:vertAlign w:val="superscript"/>
    </w:rPr>
  </w:style>
  <w:style w:type="character" w:styleId="Hyperlink">
    <w:name w:val="Hyperlink"/>
    <w:basedOn w:val="DefaultParagraphFont"/>
    <w:rPr>
      <w:color w:val="0000FF"/>
      <w:u w:val="none"/>
    </w:rPr>
  </w:style>
  <w:style w:type="character" w:styleId="FollowedHyperlink">
    <w:name w:val="FollowedHyperlink"/>
    <w:basedOn w:val="DefaultParagraphFont"/>
    <w:rPr>
      <w:color w:val="800080"/>
      <w:u w:val="none"/>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Subtitle"/>
    <w:qFormat/>
    <w:pPr>
      <w:keepNext w:val="true"/>
      <w:spacing w:before="0" w:after="240"/>
      <w:jc w:val="center"/>
      <w:outlineLvl w:val="0"/>
    </w:pPr>
    <w:rPr>
      <w:b/>
      <w:sz w:val="28"/>
      <w:u w:val="single"/>
    </w:rPr>
  </w:style>
  <w:style w:type="paragraph" w:styleId="BodyText">
    <w:name w:val="Body Text"/>
    <w:basedOn w:val="Normal"/>
    <w:pPr>
      <w:spacing w:before="0" w:after="2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istBullet3">
    <w:name w:val="List Bullet 3"/>
    <w:basedOn w:val="Normal"/>
    <w:qFormat/>
    <w:pPr>
      <w:numPr>
        <w:ilvl w:val="0"/>
        <w:numId w:val="3"/>
      </w:numPr>
      <w:tabs>
        <w:tab w:val="clear" w:pos="720"/>
      </w:tabs>
      <w:spacing w:before="0" w:after="240"/>
    </w:pPr>
    <w:rPr/>
  </w:style>
  <w:style w:type="paragraph" w:styleId="BodyText2">
    <w:name w:val="Body Text 2"/>
    <w:basedOn w:val="BodyText"/>
    <w:qFormat/>
    <w:pPr>
      <w:ind w:firstLine="720" w:start="0" w:end="0"/>
    </w:pPr>
    <w:rPr/>
  </w:style>
  <w:style w:type="paragraph" w:styleId="BodyText3">
    <w:name w:val="Body Text 3"/>
    <w:basedOn w:val="BodyText"/>
    <w:qFormat/>
    <w:pPr>
      <w:ind w:firstLine="1440" w:start="0" w:end="0"/>
    </w:pPr>
    <w:rPr/>
  </w:style>
  <w:style w:type="paragraph" w:styleId="BlockText">
    <w:name w:val="Block Text"/>
    <w:basedOn w:val="Normal"/>
    <w:qFormat/>
    <w:pPr>
      <w:spacing w:before="0" w:after="240"/>
      <w:ind w:hanging="0" w:start="1440" w:end="1440"/>
    </w:pPr>
    <w:rPr/>
  </w:style>
  <w:style w:type="paragraph" w:styleId="CommentText">
    <w:name w:val="Comment Text"/>
    <w:basedOn w:val="Normal"/>
    <w:qFormat/>
    <w:pPr/>
    <w:rPr/>
  </w:style>
  <w:style w:type="paragraph" w:styleId="EndnoteText">
    <w:name w:val="endnote text"/>
    <w:basedOn w:val="Normal"/>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tyle>
  <w:style w:type="paragraph" w:styleId="FootnoteText">
    <w:name w:val="footnote text"/>
    <w:basedOn w:val="Normal"/>
    <w:pPr>
      <w:spacing w:before="0" w:after="120"/>
      <w:ind w:hanging="360" w:start="360" w:end="0"/>
    </w:pPr>
    <w:rPr>
      <w:sz w:val="20"/>
    </w:rPr>
  </w:style>
  <w:style w:type="paragraph" w:styleId="Header">
    <w:name w:val="header"/>
    <w:pPr>
      <w:widowControl/>
      <w:bidi w:val="0"/>
    </w:pPr>
    <w:rPr>
      <w:rFonts w:ascii="Times New Roman" w:hAnsi="Times New Roman" w:eastAsia="Times New Roman" w:cs="Times New Roman"/>
      <w:color w:val="auto"/>
      <w:sz w:val="24"/>
      <w:szCs w:val="20"/>
      <w:lang w:val="en-US" w:eastAsia="en-CA" w:bidi="ar-SA"/>
    </w:rPr>
  </w:style>
  <w:style w:type="paragraph" w:styleId="TOCAll">
    <w:name w:val="TOC All"/>
    <w:basedOn w:val="Normal"/>
    <w:next w:val="Normal"/>
    <w:qFormat/>
    <w:pPr/>
    <w:rPr/>
  </w:style>
  <w:style w:type="paragraph" w:styleId="TOC2">
    <w:name w:val="toc 2"/>
    <w:basedOn w:val="TOCAll"/>
    <w:next w:val="Normal"/>
    <w:pPr>
      <w:tabs>
        <w:tab w:val="clear" w:pos="720"/>
        <w:tab w:val="decimal" w:pos="9360" w:leader="dot"/>
      </w:tabs>
      <w:ind w:hanging="720" w:start="1440" w:end="720"/>
    </w:pPr>
    <w:rPr/>
  </w:style>
  <w:style w:type="paragraph" w:styleId="TOC1">
    <w:name w:val="toc 1"/>
    <w:basedOn w:val="TOCAll"/>
    <w:next w:val="Normal"/>
    <w:pPr>
      <w:tabs>
        <w:tab w:val="clear" w:pos="720"/>
        <w:tab w:val="decimal" w:pos="9360" w:leader="dot"/>
      </w:tabs>
      <w:spacing w:before="240" w:after="0"/>
      <w:ind w:hanging="720" w:start="720" w:end="720"/>
    </w:pPr>
    <w:rPr>
      <w:b/>
    </w:rPr>
  </w:style>
  <w:style w:type="paragraph" w:styleId="TOC3">
    <w:name w:val="toc 3"/>
    <w:basedOn w:val="TOCAll"/>
    <w:next w:val="Normal"/>
    <w:pPr>
      <w:tabs>
        <w:tab w:val="clear" w:pos="720"/>
        <w:tab w:val="decimal" w:pos="9360" w:leader="dot"/>
      </w:tabs>
      <w:ind w:hanging="720" w:start="2160" w:end="720"/>
    </w:pPr>
    <w:rPr/>
  </w:style>
  <w:style w:type="paragraph" w:styleId="TOC4">
    <w:name w:val="toc 4"/>
    <w:basedOn w:val="TOCAll"/>
    <w:next w:val="Normal"/>
    <w:pPr>
      <w:tabs>
        <w:tab w:val="clear" w:pos="720"/>
        <w:tab w:val="decimal" w:pos="9360" w:leader="dot"/>
      </w:tabs>
      <w:ind w:hanging="720" w:start="2880" w:end="720"/>
    </w:pPr>
    <w:rPr/>
  </w:style>
  <w:style w:type="paragraph" w:styleId="TOC5">
    <w:name w:val="toc 5"/>
    <w:basedOn w:val="TOCAll"/>
    <w:next w:val="Normal"/>
    <w:pPr>
      <w:tabs>
        <w:tab w:val="clear" w:pos="720"/>
        <w:tab w:val="decimal" w:pos="9360" w:leader="dot"/>
      </w:tabs>
      <w:ind w:hanging="720" w:start="3600" w:end="720"/>
    </w:pPr>
    <w:rPr/>
  </w:style>
  <w:style w:type="paragraph" w:styleId="ListBullet">
    <w:name w:val="List Bullet"/>
    <w:basedOn w:val="Normal"/>
    <w:qFormat/>
    <w:pPr>
      <w:numPr>
        <w:ilvl w:val="0"/>
        <w:numId w:val="4"/>
      </w:numPr>
      <w:spacing w:before="0" w:after="240"/>
    </w:pPr>
    <w:rPr/>
  </w:style>
  <w:style w:type="paragraph" w:styleId="ListNumber">
    <w:name w:val="List Number"/>
    <w:basedOn w:val="Normal"/>
    <w:qFormat/>
    <w:pPr>
      <w:numPr>
        <w:ilvl w:val="0"/>
        <w:numId w:val="6"/>
      </w:numPr>
      <w:spacing w:before="0" w:after="240"/>
    </w:pPr>
    <w:rPr/>
  </w:style>
  <w:style w:type="paragraph" w:styleId="TOC9">
    <w:name w:val="toc 9"/>
    <w:basedOn w:val="TOCAll"/>
    <w:next w:val="Normal"/>
    <w:pPr>
      <w:tabs>
        <w:tab w:val="clear" w:pos="720"/>
        <w:tab w:val="decimal" w:pos="9360" w:leader="dot"/>
      </w:tabs>
      <w:ind w:hanging="720" w:start="6480" w:end="720"/>
    </w:pPr>
    <w:rPr/>
  </w:style>
  <w:style w:type="paragraph" w:styleId="TOC8">
    <w:name w:val="toc 8"/>
    <w:basedOn w:val="TOCAll"/>
    <w:next w:val="Normal"/>
    <w:pPr>
      <w:tabs>
        <w:tab w:val="clear" w:pos="720"/>
        <w:tab w:val="decimal" w:pos="9360" w:leader="dot"/>
      </w:tabs>
      <w:ind w:hanging="720" w:start="5760" w:end="720"/>
    </w:pPr>
    <w:rPr/>
  </w:style>
  <w:style w:type="paragraph" w:styleId="TOC7">
    <w:name w:val="toc 7"/>
    <w:basedOn w:val="TOCAll"/>
    <w:next w:val="Normal"/>
    <w:pPr>
      <w:tabs>
        <w:tab w:val="clear" w:pos="720"/>
        <w:tab w:val="decimal" w:pos="9360" w:leader="dot"/>
      </w:tabs>
      <w:ind w:hanging="720" w:start="5040" w:end="720"/>
    </w:pPr>
    <w:rPr/>
  </w:style>
  <w:style w:type="paragraph" w:styleId="TOC6">
    <w:name w:val="toc 6"/>
    <w:basedOn w:val="TOCAll"/>
    <w:next w:val="Normal"/>
    <w:pPr>
      <w:tabs>
        <w:tab w:val="clear" w:pos="720"/>
        <w:tab w:val="decimal" w:pos="9360" w:leader="dot"/>
      </w:tabs>
      <w:ind w:hanging="720" w:start="4320" w:end="720"/>
    </w:pPr>
    <w:rPr/>
  </w:style>
  <w:style w:type="paragraph" w:styleId="ListNumber2">
    <w:name w:val="List Number 2"/>
    <w:basedOn w:val="Normal"/>
    <w:qFormat/>
    <w:pPr>
      <w:numPr>
        <w:ilvl w:val="0"/>
        <w:numId w:val="2"/>
      </w:numPr>
      <w:spacing w:before="0" w:after="240"/>
    </w:pPr>
    <w:rPr/>
  </w:style>
  <w:style w:type="paragraph" w:styleId="ListBullet2">
    <w:name w:val="List Bullet 2"/>
    <w:basedOn w:val="Normal"/>
    <w:qFormat/>
    <w:pPr>
      <w:numPr>
        <w:ilvl w:val="0"/>
        <w:numId w:val="5"/>
      </w:numPr>
      <w:spacing w:before="0" w:after="240"/>
    </w:pPr>
    <w:rPr/>
  </w:style>
  <w:style w:type="paragraph" w:styleId="Subtitle">
    <w:name w:val="Subtitle"/>
    <w:basedOn w:val="Normal"/>
    <w:next w:val="BodyText2"/>
    <w:qFormat/>
    <w:pPr>
      <w:keepNext w:val="true"/>
      <w:spacing w:before="0" w:after="240"/>
      <w:jc w:val="center"/>
      <w:outlineLvl w:val="1"/>
    </w:pPr>
    <w:rPr>
      <w:b/>
    </w:rPr>
  </w:style>
  <w:style w:type="paragraph" w:styleId="Closing">
    <w:name w:val="Closing"/>
    <w:basedOn w:val="Normal"/>
    <w:qFormat/>
    <w:pPr>
      <w:ind w:hanging="0" w:start="5760" w:end="0"/>
    </w:pPr>
    <w:rPr/>
  </w:style>
  <w:style w:type="paragraph" w:styleId="BodyTextIndent">
    <w:name w:val="Body Text Indent"/>
    <w:basedOn w:val="Normal"/>
    <w:pPr>
      <w:spacing w:before="0" w:after="240"/>
      <w:ind w:hanging="0" w:start="720" w:end="0"/>
    </w:pPr>
    <w:rPr/>
  </w:style>
  <w:style w:type="paragraph" w:styleId="Index1">
    <w:name w:val="index 1"/>
    <w:basedOn w:val="Normal"/>
    <w:pPr/>
    <w:rPr/>
  </w:style>
  <w:style w:type="paragraph" w:styleId="Index2">
    <w:name w:val="index 2"/>
    <w:basedOn w:val="Index1"/>
    <w:pPr>
      <w:ind w:hanging="0" w:start="360" w:end="0"/>
    </w:pPr>
    <w:rPr/>
  </w:style>
  <w:style w:type="paragraph" w:styleId="Index3">
    <w:name w:val="index 3"/>
    <w:basedOn w:val="Index2"/>
    <w:pPr>
      <w:ind w:hanging="0" w:start="720" w:end="0"/>
    </w:pPr>
    <w:rPr/>
  </w:style>
  <w:style w:type="paragraph" w:styleId="Index4">
    <w:name w:val="Index 4"/>
    <w:basedOn w:val="Index3"/>
    <w:qFormat/>
    <w:pPr>
      <w:ind w:hanging="0" w:start="1080" w:end="0"/>
    </w:pPr>
    <w:rPr/>
  </w:style>
  <w:style w:type="paragraph" w:styleId="BodyTextFirstIndent">
    <w:name w:val="Body Text First Indent"/>
    <w:basedOn w:val="BodyText"/>
    <w:qFormat/>
    <w:pPr>
      <w:spacing w:before="0" w:after="120"/>
      <w:ind w:firstLine="210" w:start="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TLBlank Portrait.dot</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2001-06-29T18:24:00Z</dcterms:created>
  <dc:creator>Washington Office</dc:creator>
  <dc:description/>
  <dc:language>en-CA</dc:language>
  <cp:lastModifiedBy>User</cp:lastModifiedBy>
  <cp:lastPrinted>2001-06-29T17:05:00Z</cp:lastPrinted>
  <dcterms:modified xsi:type="dcterms:W3CDTF">2001-06-29T18:57:00Z</dcterms:modified>
  <cp:revision>5</cp:revision>
  <dc:subject/>
  <dc:title>Blank document-portrait</dc:title>
</cp:coreProperties>
</file>