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UNITED STATES OF AMERICA</w:t>
      </w:r>
    </w:p>
    <w:p>
      <w:pPr>
        <w:pStyle w:val="Normal"/>
        <w:numPr>
          <w:ilvl w:val="0"/>
          <w:numId w:val="0"/>
        </w:numPr>
        <w:jc w:val="center"/>
        <w:outlineLvl w:val="0"/>
        <w:rPr>
          <w:b/>
        </w:rPr>
      </w:pPr>
      <w:r>
        <w:rPr>
          <w:b/>
        </w:rPr>
        <w:t>BEFORE THE</w:t>
      </w:r>
    </w:p>
    <w:p>
      <w:pPr>
        <w:pStyle w:val="Normal"/>
        <w:numPr>
          <w:ilvl w:val="0"/>
          <w:numId w:val="0"/>
        </w:numPr>
        <w:jc w:val="center"/>
        <w:outlineLvl w:val="0"/>
        <w:rPr>
          <w:b/>
        </w:rPr>
      </w:pPr>
      <w:r>
        <w:rPr>
          <w:b/>
        </w:rPr>
        <w:t>FEDERAL ENERGY REGULATORY COMMISSION</w:t>
      </w:r>
    </w:p>
    <w:p>
      <w:pPr>
        <w:pStyle w:val="Normal"/>
        <w:rPr/>
      </w:pPr>
      <w:r>
        <w:rPr/>
      </w:r>
    </w:p>
    <w:p>
      <w:pPr>
        <w:pStyle w:val="Normal"/>
        <w:rPr/>
      </w:pPr>
      <w:r>
        <w:rPr/>
        <w:tab/>
        <w:tab/>
        <w:tab/>
        <w:tab/>
        <w:tab/>
        <w:tab/>
        <w:t>)</w:t>
      </w:r>
    </w:p>
    <w:p>
      <w:pPr>
        <w:pStyle w:val="Normal"/>
        <w:rPr/>
      </w:pPr>
      <w:r>
        <w:rPr/>
        <w:t xml:space="preserve">The Alliance Companies, </w:t>
      </w:r>
      <w:r>
        <w:rPr>
          <w:i/>
        </w:rPr>
        <w:t>et al.</w:t>
      </w:r>
      <w:r>
        <w:rPr/>
        <w:tab/>
        <w:tab/>
        <w:t>)</w:t>
        <w:tab/>
        <w:tab/>
        <w:t>Docket Nos. RT01-88-012</w:t>
      </w:r>
    </w:p>
    <w:p>
      <w:pPr>
        <w:pStyle w:val="Normal"/>
        <w:rPr/>
      </w:pPr>
      <w:r>
        <w:rPr/>
        <w:tab/>
        <w:tab/>
        <w:tab/>
        <w:tab/>
        <w:tab/>
        <w:tab/>
        <w:t>)</w:t>
        <w:tab/>
        <w:tab/>
        <w:tab/>
        <w:t xml:space="preserve">         ER99-3144-015</w:t>
      </w:r>
    </w:p>
    <w:p>
      <w:pPr>
        <w:pStyle w:val="Normal"/>
        <w:rPr/>
      </w:pPr>
      <w:r>
        <w:rPr/>
        <w:tab/>
        <w:tab/>
        <w:tab/>
        <w:tab/>
        <w:tab/>
        <w:tab/>
        <w:t>)</w:t>
        <w:tab/>
        <w:tab/>
        <w:tab/>
        <w:t xml:space="preserve">         EC99-80-015</w:t>
      </w:r>
    </w:p>
    <w:p>
      <w:pPr>
        <w:pStyle w:val="Normal"/>
        <w:rPr/>
      </w:pPr>
      <w:r>
        <w:rPr/>
      </w:r>
    </w:p>
    <w:p>
      <w:pPr>
        <w:pStyle w:val="Normal"/>
        <w:jc w:val="center"/>
        <w:rPr>
          <w:b/>
          <w:color w:val="000000"/>
          <w:u w:val="single"/>
        </w:rPr>
      </w:pPr>
      <w:r>
        <w:rPr>
          <w:b/>
          <w:color w:val="000000"/>
          <w:u w:val="single"/>
        </w:rPr>
        <w:t>PROTEST AND COMMENTS OF THE COMPETITIVE COALITION TO THE DEFINITIVE AGREEMENTS OF THE ALLIANCE COMPANIES AND NATIONAL GRID USA AND MOTION FOR LEAVE TO FILE OUT-OF-TIME</w:t>
      </w:r>
    </w:p>
    <w:p>
      <w:pPr>
        <w:pStyle w:val="Normal"/>
        <w:spacing w:lineRule="auto" w:line="480"/>
        <w:ind w:firstLine="720" w:end="0"/>
        <w:rPr>
          <w:b/>
          <w:color w:val="000000"/>
          <w:u w:val="single"/>
        </w:rPr>
      </w:pPr>
      <w:r>
        <w:rPr>
          <w:b/>
          <w:color w:val="000000"/>
          <w:u w:val="single"/>
        </w:rPr>
      </w:r>
    </w:p>
    <w:p>
      <w:pPr>
        <w:pStyle w:val="Normal"/>
        <w:spacing w:lineRule="auto" w:line="480"/>
        <w:ind w:firstLine="720" w:end="0"/>
        <w:rPr/>
      </w:pPr>
      <w:r>
        <w:rPr/>
        <w:t>The Alliance Companies (“Alliance” or “Alliance Companies”) and National Grid USA (“National Grid”) have failed to demonstrate that National Grid, as managing member of the proposed Alliance Transmission Company (“Alliance Transco” or “Transco”) is independent from the interests of the Alliance transmission owners or that there is any independent governance overseeing the Alliance Regional Transmission Organization (“Alliance RTO” or “RTO”) with the characteristics and functionality required by Order 2000</w:t>
      </w:r>
      <w:r>
        <w:rPr>
          <w:rStyle w:val="FootnoteCharacters"/>
          <w:rStyle w:val="FootnoteReference"/>
          <w:sz w:val="20"/>
        </w:rPr>
        <w:footnoteReference w:id="2"/>
      </w:r>
      <w:r>
        <w:rPr/>
        <w:t xml:space="preserve"> and the Federal Energy Regulatory Commission's (“FERC” or “Commission”) order of July 12, 2001.  Therefore, the Commission should reject the Participation Agreement, Master Agreement, LLC Agreement and Operating Agreement (collectively, the “Definitive Agreements”) filed by the Alliance Companies and National Grid on November 1, 2001, which establish National Grid as managing member of the Alliance Transco, and order the Alliance Companies to comply with the Commission's requirement of independent RTO governance.</w:t>
      </w:r>
    </w:p>
    <w:p>
      <w:pPr>
        <w:pStyle w:val="Normal"/>
        <w:spacing w:lineRule="auto" w:line="480"/>
        <w:ind w:firstLine="720" w:end="0"/>
        <w:rPr/>
      </w:pPr>
      <w:r>
        <w:rPr/>
        <w:t xml:space="preserve">Pursuant to Rules 211 and 212 of the Commission's Rules of Practice and Procedure, 18 C.F.R. §§ 385.211 and 385.212 (2001), </w:t>
      </w:r>
      <w:r>
        <w:rPr>
          <w:color w:val="000000"/>
        </w:rPr>
        <w:t xml:space="preserve">NRG Power Marketing, Inc., NRG Granite Acquisition, LLC, Morris Cogenerative, and NRG Audrain Generating LLC (collectively “NRG”); </w:t>
      </w:r>
      <w:r>
        <w:rPr/>
        <w:t>Mirant Americas Energy Marketing, LP, Mirant State Line Ventures Inc., Mirant Zeeland LLC, and Mirant Neenah LLC (collectively “the Mirant Entities”)</w:t>
      </w:r>
      <w:r>
        <w:rPr>
          <w:rFonts w:cs="Courier New" w:ascii="Courier New" w:hAnsi="Courier New"/>
          <w:sz w:val="20"/>
        </w:rPr>
        <w:t xml:space="preserve">, </w:t>
      </w:r>
      <w:r>
        <w:rPr>
          <w:color w:val="000000"/>
        </w:rPr>
        <w:t xml:space="preserve">AES NewEnergy, Inc.; </w:t>
      </w:r>
      <w:r>
        <w:rPr/>
        <w:t>Constellation Power Source, Inc. (“CPS”), and its affiliates University Park, LLC (“University Park”), Wolf Hills Energy, LLC (“Wolf Hills”)</w:t>
      </w:r>
      <w:r>
        <w:rPr>
          <w:b/>
        </w:rPr>
        <w:t>,</w:t>
      </w:r>
      <w:r>
        <w:rPr/>
        <w:t xml:space="preserve"> and Holland Energy LLC (“Holland”), (collectively, the “Constellation Companies”); PG&amp;E National Energy Group Company; Orion Power MidWest, L.P.; Tenaska, Inc.; Calpine Corporation; and Public Service Electric and Gas Company, PSEG Power LLC and PSEG Energy Trade &amp; Resources LLC (collectively, the “PSEG Companies”) </w:t>
      </w:r>
      <w:r>
        <w:rPr>
          <w:color w:val="000000"/>
        </w:rPr>
        <w:t xml:space="preserve">(all of the foregoing entities collectively called the “Competitive Coalition”), </w:t>
      </w:r>
      <w:r>
        <w:rPr/>
        <w:t>file this Motion to Reject and Protest the Definitive Agreements filed by the Alliance Companies and National Grid on November 1, 2001.</w:t>
      </w:r>
    </w:p>
    <w:p>
      <w:pPr>
        <w:pStyle w:val="Normal"/>
        <w:jc w:val="center"/>
        <w:rPr>
          <w:b/>
        </w:rPr>
      </w:pPr>
      <w:r>
        <w:rPr>
          <w:b/>
        </w:rPr>
        <w:t>I.</w:t>
      </w:r>
    </w:p>
    <w:p>
      <w:pPr>
        <w:pStyle w:val="Normal"/>
        <w:jc w:val="center"/>
        <w:rPr>
          <w:b/>
        </w:rPr>
      </w:pPr>
      <w:r>
        <w:rPr>
          <w:b/>
        </w:rPr>
        <w:t>BACKGROUND</w:t>
      </w:r>
    </w:p>
    <w:p>
      <w:pPr>
        <w:pStyle w:val="Normal"/>
        <w:jc w:val="center"/>
        <w:rPr>
          <w:b/>
        </w:rPr>
      </w:pPr>
      <w:r>
        <w:rPr>
          <w:b/>
        </w:rPr>
      </w:r>
    </w:p>
    <w:p>
      <w:pPr>
        <w:pStyle w:val="Normal"/>
        <w:spacing w:lineRule="auto" w:line="480"/>
        <w:ind w:firstLine="720" w:end="0"/>
        <w:rPr/>
      </w:pPr>
      <w:r>
        <w:rPr/>
        <w:t>On May 15, 2001, the Alliance Companies filed a supplemental compliance filing</w:t>
      </w:r>
      <w:r>
        <w:rPr>
          <w:rStyle w:val="FootnoteCharacters"/>
          <w:rStyle w:val="FootnoteReference"/>
        </w:rPr>
        <w:footnoteReference w:id="3"/>
      </w:r>
      <w:r>
        <w:rPr/>
        <w:t xml:space="preserve"> in an attempt to comply with the non-rate directives delineated in the Commission’s January 24, 2001 Order.  </w:t>
      </w:r>
      <w:r>
        <w:rPr>
          <w:i/>
        </w:rPr>
        <w:t>See Alliance Cos.</w:t>
      </w:r>
      <w:r>
        <w:rPr/>
        <w:t xml:space="preserve">, 94 FERC ¶ 61,070 (2001) (“Alliance III Order”).  In that filing the Alliance Companies explained that any directives from the Alliance III Order that were not addressed by their Supplemental Compliance Filing would be addressed on or before the date of the rate filing for Alliance’s OATT.  On July 12, 2001, the Commission issued its order addressing the Alliance Companies’ Supplemental Compliance Filing.  </w:t>
      </w:r>
      <w:r>
        <w:rPr>
          <w:i/>
        </w:rPr>
        <w:t>Alliance Cos.,</w:t>
      </w:r>
      <w:r>
        <w:rPr/>
        <w:t xml:space="preserve"> 96 F.E.R.C. ¶ 61,052 (2001) (“Alliance V Order”).  The order conditionally approved aspects of the Supplemental Compliance Filing, identified matters subject to further compliance, and directed the Alliance Companies to address all outstanding compliance matters.  The Commission’s Alliance V Order also directed the Alliance Companies to file within 45 days the proposed business plan they intend to implement.  Furthermore, the Commission directed the Alliance Companies to establish immediately an independent board to make all business decisions for the RTO, based on guidance and recommendations provided by a stakeholder advisory committee.</w:t>
      </w:r>
    </w:p>
    <w:p>
      <w:pPr>
        <w:pStyle w:val="BodyTextIndent"/>
        <w:tabs>
          <w:tab w:val="clear" w:pos="720"/>
          <w:tab w:val="left" w:pos="8100" w:leader="none"/>
        </w:tabs>
        <w:rPr/>
      </w:pPr>
      <w:r>
        <w:rPr/>
        <w:t xml:space="preserve">A number of parties sought rehearing and/or clarification of the Alliance V Order.  </w:t>
      </w:r>
    </w:p>
    <w:p>
      <w:pPr>
        <w:pStyle w:val="BodyTextDS"/>
        <w:rPr/>
      </w:pPr>
      <w:r>
        <w:rPr/>
        <w:t xml:space="preserve">In response to directives in the Alliance V Order, on August 27, 2001, the Alliance Companies submitted their proposed business plan (“Alliance Business Plan”).  The Alliance Business Plan outlined, in general terms, the relationship between the Alliance Companies and National Grid.  Several parties, including the Competitive Coalition, protested the Alliance Business Plan because it failed to provide for independent RTO governance or remove the bias National Grid will have, to act in the benefit of the Alliance transmission owners, at the expense of other stakeholders.  </w:t>
      </w:r>
    </w:p>
    <w:p>
      <w:pPr>
        <w:pStyle w:val="Normal"/>
        <w:spacing w:lineRule="auto" w:line="480"/>
        <w:ind w:firstLine="720" w:end="0"/>
        <w:rPr/>
      </w:pPr>
      <w:r>
        <w:rPr/>
        <w:t xml:space="preserve">On a separate but related track, National Grid has been attempting to obtain Commission declaration that National Grid is not a “market participant,” as defined by Commission regulations.  </w:t>
      </w:r>
      <w:r>
        <w:rPr>
          <w:i/>
        </w:rPr>
        <w:t>See</w:t>
      </w:r>
      <w:r>
        <w:rPr/>
        <w:t xml:space="preserve"> 18 C.F.R. § 35.34(b)(2)(i) (2001).  By Order issued July 26, 2001, the Commission declined to grant National Grid’s request, finding that it did not have sufficient information to determine whether or not National Grid is a market participant.</w:t>
      </w:r>
      <w:r>
        <w:rPr>
          <w:rStyle w:val="FootnoteCharacters"/>
          <w:rStyle w:val="FootnoteReference"/>
        </w:rPr>
        <w:footnoteReference w:id="4"/>
      </w:r>
      <w:r>
        <w:rPr/>
        <w:t xml:space="preserve">  On August 27, 2001, National Grid supplemented its original petition for declaratory order, offering additional information that purported to demonstrate that National Grid is not a market participant.  </w:t>
      </w:r>
    </w:p>
    <w:p>
      <w:pPr>
        <w:pStyle w:val="Normal"/>
        <w:spacing w:lineRule="auto" w:line="480"/>
        <w:ind w:firstLine="720" w:end="0"/>
        <w:rPr/>
      </w:pPr>
      <w:r>
        <w:rPr/>
        <w:t>The instant filing by the Alliance Companies and National Grid consists of four agreements by which the Alliance Companies will establish National Grid as the Managing Member of the Alliance Transco and establish the Alliance Transco as the Alliance RTO:</w:t>
      </w:r>
    </w:p>
    <w:p>
      <w:pPr>
        <w:pStyle w:val="Normal"/>
        <w:numPr>
          <w:ilvl w:val="0"/>
          <w:numId w:val="7"/>
        </w:numPr>
        <w:rPr/>
      </w:pPr>
      <w:r>
        <w:rPr/>
        <w:t>Participation Agreement by and among Ameren Services Company, et al., and The National Grid Group PLC (“Participation Agreement”);</w:t>
      </w:r>
    </w:p>
    <w:p>
      <w:pPr>
        <w:pStyle w:val="Normal"/>
        <w:ind w:start="1080" w:end="0"/>
        <w:rPr/>
      </w:pPr>
      <w:r>
        <w:rPr/>
      </w:r>
    </w:p>
    <w:p>
      <w:pPr>
        <w:pStyle w:val="Normal"/>
        <w:numPr>
          <w:ilvl w:val="0"/>
          <w:numId w:val="7"/>
        </w:numPr>
        <w:rPr/>
      </w:pPr>
      <w:r>
        <w:rPr/>
        <w:t>Limited Liability Company Agreement of Alliance Transmission Company LLC (“LLC Agreement”);</w:t>
      </w:r>
    </w:p>
    <w:p>
      <w:pPr>
        <w:pStyle w:val="Normal"/>
        <w:ind w:start="1080" w:end="0"/>
        <w:rPr/>
      </w:pPr>
      <w:r>
        <w:rPr/>
      </w:r>
    </w:p>
    <w:p>
      <w:pPr>
        <w:pStyle w:val="Normal"/>
        <w:numPr>
          <w:ilvl w:val="0"/>
          <w:numId w:val="7"/>
        </w:numPr>
        <w:rPr/>
      </w:pPr>
      <w:r>
        <w:rPr/>
        <w:t>Alliance Regional Transmission Organization Operation Agreement among Union Electric Company d/b/a Ameren UE, et al. and Alliance Transmission Company LCC (“Operations Agreement”); and</w:t>
      </w:r>
    </w:p>
    <w:p>
      <w:pPr>
        <w:pStyle w:val="Normal"/>
        <w:ind w:start="1080" w:end="0"/>
        <w:rPr/>
      </w:pPr>
      <w:r>
        <w:rPr/>
      </w:r>
    </w:p>
    <w:p>
      <w:pPr>
        <w:pStyle w:val="Normal"/>
        <w:numPr>
          <w:ilvl w:val="0"/>
          <w:numId w:val="7"/>
        </w:numPr>
        <w:rPr/>
      </w:pPr>
      <w:r>
        <w:rPr/>
        <w:t>Master Agreement among Alliance Transmission Company LLC, [Initial Member], Alliance Companies and The National Grid Group PLC (“Master Agreement”).</w:t>
      </w:r>
    </w:p>
    <w:p>
      <w:pPr>
        <w:pStyle w:val="Normal"/>
        <w:rPr/>
      </w:pPr>
      <w:r>
        <w:rPr/>
      </w:r>
    </w:p>
    <w:p>
      <w:pPr>
        <w:pStyle w:val="Normal"/>
        <w:spacing w:lineRule="auto" w:line="480"/>
        <w:rPr/>
      </w:pPr>
      <w:r>
        <w:rPr/>
        <w:t xml:space="preserve">The Participation Agreement sets forth the covenants and conditions precedent to execution of the LLC Agreement, Operations Agreement, and Master Agreement.  Pursuant to the Participation Agreement, the definitive agreements will be executed if and when the Commission approves Alliance Transco as an RTO and approves Alliance Companies’ and National Grid’s pending applications to enable National Grid to serve as the Managing Member.  </w:t>
      </w:r>
      <w:r>
        <w:rPr>
          <w:i/>
        </w:rPr>
        <w:t>See</w:t>
      </w:r>
      <w:r>
        <w:rPr/>
        <w:t xml:space="preserve"> Participation Agreement, Sec. 3.01(c).</w:t>
      </w:r>
    </w:p>
    <w:p>
      <w:pPr>
        <w:pStyle w:val="BodyText"/>
        <w:spacing w:before="0" w:after="0"/>
        <w:jc w:val="center"/>
        <w:rPr>
          <w:b/>
        </w:rPr>
      </w:pPr>
      <w:r>
        <w:rPr>
          <w:b/>
        </w:rPr>
        <w:t>II</w:t>
      </w:r>
    </w:p>
    <w:p>
      <w:pPr>
        <w:pStyle w:val="BodyText"/>
        <w:spacing w:before="0" w:after="0"/>
        <w:jc w:val="center"/>
        <w:rPr>
          <w:b/>
        </w:rPr>
      </w:pPr>
      <w:r>
        <w:rPr>
          <w:b/>
        </w:rPr>
        <w:t>MOTION TO FILE OUT-OF-TIME</w:t>
      </w:r>
    </w:p>
    <w:p>
      <w:pPr>
        <w:pStyle w:val="BodyText"/>
        <w:spacing w:before="0" w:after="0"/>
        <w:jc w:val="center"/>
        <w:rPr>
          <w:b/>
        </w:rPr>
      </w:pPr>
      <w:r>
        <w:rPr>
          <w:b/>
        </w:rPr>
      </w:r>
    </w:p>
    <w:p>
      <w:pPr>
        <w:pStyle w:val="Normal"/>
        <w:spacing w:lineRule="auto" w:line="480"/>
        <w:ind w:firstLine="720" w:end="0"/>
        <w:rPr/>
      </w:pPr>
      <w:r>
        <w:rPr/>
        <w:t>T</w:t>
      </w:r>
      <w:r>
        <w:rPr>
          <w:color w:val="000000"/>
        </w:rPr>
        <w:t>he Competitive Coalition, filed a request for an extension of time to file comments to the Definitive Agreements on November 19, 2001.  The Competitive Coalition has not yet received the Commission’s order responding to its request.  Notwithstanding this, the Competitive Coalition respectfully requests that the Commission accept this motion and protest two (2) business days out-of-time.  Good cause exists for the Competitive Coalition filing out-of-time - due to the numerous recent Alliance Companies and Midwest Independent System Operator, Inc.’s filings and the length of the Definitive Agreements, the parties did not have a sufficient opportunity to file comments by November 23, 2001.  The Commission’s acceptance of this filing should not unduly prejudice any party to this proceeding.</w:t>
      </w:r>
    </w:p>
    <w:p>
      <w:pPr>
        <w:pStyle w:val="BodyText"/>
        <w:spacing w:before="0" w:after="0"/>
        <w:jc w:val="center"/>
        <w:rPr>
          <w:b/>
        </w:rPr>
      </w:pPr>
      <w:r>
        <w:rPr>
          <w:b/>
        </w:rPr>
        <w:t>III.</w:t>
      </w:r>
    </w:p>
    <w:p>
      <w:pPr>
        <w:pStyle w:val="BodyText"/>
        <w:spacing w:before="0" w:after="0"/>
        <w:jc w:val="center"/>
        <w:rPr>
          <w:b/>
        </w:rPr>
      </w:pPr>
      <w:r>
        <w:rPr>
          <w:b/>
        </w:rPr>
        <w:t>PROTEST AND COMMENTS</w:t>
      </w:r>
    </w:p>
    <w:p>
      <w:pPr>
        <w:pStyle w:val="BodyText"/>
        <w:spacing w:before="0" w:after="0"/>
        <w:jc w:val="center"/>
        <w:rPr>
          <w:b/>
        </w:rPr>
      </w:pPr>
      <w:r>
        <w:rPr>
          <w:b/>
        </w:rPr>
      </w:r>
    </w:p>
    <w:p>
      <w:pPr>
        <w:pStyle w:val="BodyText"/>
        <w:ind w:firstLine="720" w:end="0"/>
        <w:rPr>
          <w:b/>
        </w:rPr>
      </w:pPr>
      <w:r>
        <w:rPr>
          <w:b/>
        </w:rPr>
        <w:t>A.</w:t>
        <w:tab/>
        <w:t xml:space="preserve">The Alliance Transmission Owners’ ability to control and influence the Managing Member’s decisions is apparent throughout the Definitive Agreements, and therefore, such Definitive Agreements Must be Rejected.  </w:t>
      </w:r>
    </w:p>
    <w:p>
      <w:pPr>
        <w:pStyle w:val="BodyTextDS2"/>
        <w:rPr/>
      </w:pPr>
      <w:r>
        <w:rPr/>
        <w:t>Order 2000 requires that the Alliance Transco must be governed by an entity that is independent from all market participant interests.  A vital component of this independence requirement is that the final decision maker for market and transmission planning decisions be made by a party that is both perceived and is, in fact, separate and distinct from transmission owners (“TO”s) and other market participants.  This separation is required in order for energy markets to develop without being biased in favor of transmission owners that retain interests in the market.  Moreover, independent oversight is crucial to fostering confidence in RTOs and their markets.</w:t>
      </w:r>
    </w:p>
    <w:p>
      <w:pPr>
        <w:pStyle w:val="BodyText"/>
        <w:spacing w:lineRule="auto" w:line="480"/>
        <w:ind w:firstLine="720" w:end="0"/>
        <w:rPr/>
      </w:pPr>
      <w:r>
        <w:rPr/>
        <w:t xml:space="preserve">A major flaw in the National Grid Managing Member arrangement is the extensive influence the Alliance TOs may exert over the Managing Member.  The Managing Member owes fiduciary duties of care and loyalty to each of the Alliance TOs.  </w:t>
      </w:r>
      <w:r>
        <w:rPr>
          <w:i/>
        </w:rPr>
        <w:t xml:space="preserve">See </w:t>
      </w:r>
      <w:r>
        <w:rPr/>
        <w:t>Alliance Cos., Transmittal Letter, Docket Nos. RT01-88-012, ER99-3144-015, EC99-80-015 (Nov. 1, 2001).  Armed with undue control in the form of its removal powers, the TOs have an available means of overriding and influencing the Managing Member if they can merely assert harm from the Managing Member’s decisions.  Section 6.1(b) of the LLC Agreement provides for a supermajority and for cause removal procedure by the TOs:</w:t>
      </w:r>
    </w:p>
    <w:p>
      <w:pPr>
        <w:pStyle w:val="BodyText"/>
        <w:ind w:start="1440" w:end="1440"/>
        <w:rPr/>
      </w:pPr>
      <w:r>
        <w:rPr/>
        <w:t>[T]he Initial Member’s term as Managing Member shall terminate prior to the Scheduled Termination Date or prior to the end of any Additional Term … (ii) for Cause if a Super Majority of Transmission Owners shall have delivered written notice that they have elected to remove the Managing Member for Cause pursuant to this Agreement or a Super Majority of Transmission Owners shall have delivered written notice that they have elected to cause the Company to remove the Managing Member for “cause” pursuant to Section 4.4.3 of the Operation Agreement…</w:t>
      </w:r>
    </w:p>
    <w:p>
      <w:pPr>
        <w:pStyle w:val="Normal"/>
        <w:rPr/>
      </w:pPr>
      <w:r>
        <w:rPr/>
        <w:t>LLC Agreement, Sec. 6.1(b).</w:t>
      </w:r>
    </w:p>
    <w:p>
      <w:pPr>
        <w:pStyle w:val="Normal"/>
        <w:rPr/>
      </w:pPr>
      <w:r>
        <w:rPr/>
      </w:r>
    </w:p>
    <w:p>
      <w:pPr>
        <w:pStyle w:val="Normal"/>
        <w:spacing w:lineRule="auto" w:line="480"/>
        <w:ind w:firstLine="720" w:end="0"/>
        <w:rPr/>
      </w:pPr>
      <w:r>
        <w:rPr/>
        <w:t xml:space="preserve">The “for cause” provision confers the TOs with sufficient liberty to pose a challenge to the Managing Member’s ability to be an independent and unbiased decision-maker.  As a consequence, TOs possess broad latitude in influencing the Managing Member or disposing of one that is not amenable to its agenda.  Section 1.1 of the LLC Agreement defines “cause” to be “the failure by NGG [National Grid Group] to comply in any material respect with any of the obligations set forth in Article III or Section 10.1 of the Master Agreement.”  </w:t>
      </w:r>
      <w:r>
        <w:rPr>
          <w:i/>
        </w:rPr>
        <w:t>See id.</w:t>
      </w:r>
      <w:r>
        <w:rPr/>
        <w:t>, Sec. 1.1 (emphasis omitted).  Section 10.1, moreover, provides a list of covenants applicable to National Grid.  Should a TO allege that National Grid failed to fulfill one or more of these covenants, they could remove the Managing Member.</w:t>
      </w:r>
    </w:p>
    <w:p>
      <w:pPr>
        <w:pStyle w:val="Normal"/>
        <w:spacing w:lineRule="auto" w:line="480"/>
        <w:rPr/>
      </w:pPr>
      <w:r>
        <w:rPr/>
        <w:tab/>
        <w:t xml:space="preserve">Compounding the low threshold for removal is the absence of any recourse short of arbitration if the Managing Member chooses to dispute the existence of cause for removal.  </w:t>
      </w:r>
      <w:r>
        <w:rPr>
          <w:i/>
        </w:rPr>
        <w:t xml:space="preserve">See </w:t>
      </w:r>
      <w:r>
        <w:rPr/>
        <w:t xml:space="preserve">LLC Agreement, Sec. 10.3(b).  The absence of less extreme measures to dispute removal reinforces the TOs' dominant hand in their relationship with the Managing Member.  The absence, moreover, of any transition mechanism from the removed Managing Member to another entity as Managing Member calls attention to Section 2.1(e)(4) of the Master Agreement, which places residual control of Transco with the Alliance TOs in the event that no Class A holders exist upon removal.  The residual role of the TOs only bolsters their position over the Managing Member's role in the management of Transco, effectively ensuring that management will </w:t>
      </w:r>
      <w:r>
        <w:rPr>
          <w:i/>
        </w:rPr>
        <w:t>not</w:t>
      </w:r>
      <w:r>
        <w:rPr/>
        <w:t xml:space="preserve"> be independent of the individual TOs' own interests.</w:t>
      </w:r>
    </w:p>
    <w:p>
      <w:pPr>
        <w:pStyle w:val="Normal"/>
        <w:spacing w:lineRule="auto" w:line="480"/>
        <w:rPr/>
      </w:pPr>
      <w:r>
        <w:rPr/>
        <w:tab/>
        <w:t xml:space="preserve"> Moreover, it is all too possible in this framework for Alliance TOs to exercise collective power to force </w:t>
      </w:r>
      <w:r>
        <w:rPr>
          <w:i/>
        </w:rPr>
        <w:t>or threaten</w:t>
      </w:r>
      <w:r>
        <w:rPr/>
        <w:t xml:space="preserve"> the removal of the Managing Member, if the Managing Member does not appear, to the Alliance TOs, as serving their interests.  The LLC Agreement only requires a </w:t>
      </w:r>
      <w:r>
        <w:rPr>
          <w:i/>
        </w:rPr>
        <w:t>supermajority</w:t>
      </w:r>
      <w:r>
        <w:rPr/>
        <w:t xml:space="preserve"> of the TOs for removal of the Managing Member for cause.  Under the Agreement, a "supermajority" constitutes one or more owners of  transmission facilities who hold two-thirds of the combined net plant value of the transmission facilities owned or functionally controlled by Transco.  LLC Agreement, Article I.  Because a supermajority could consist of Class B unit members, it follows that the LLC Agreement allows for </w:t>
      </w:r>
      <w:r>
        <w:rPr>
          <w:i/>
        </w:rPr>
        <w:t>passive ownership</w:t>
      </w:r>
      <w:r>
        <w:rPr/>
        <w:t xml:space="preserve">.  This removal right constitutes passive ownership which counters Commission policy.  Furthermore, Section 4.4 provides that non-Managing/non-Affiliate Members shall represent the Company in connection with capital contributions of transmission facilities by the Managing Member or any Affiliate.  </w:t>
      </w:r>
      <w:r>
        <w:rPr>
          <w:i/>
        </w:rPr>
        <w:t xml:space="preserve">See </w:t>
      </w:r>
      <w:r>
        <w:rPr/>
        <w:t xml:space="preserve">LLC Agreement, Sec. 4.4.  A single or a few TOs, depending on ownership distribution, could thus exert sufficient power under this Agreement to effectively control and/or negate the Managing Member's decision(s).  </w:t>
      </w:r>
    </w:p>
    <w:p>
      <w:pPr>
        <w:pStyle w:val="Normal"/>
        <w:spacing w:lineRule="auto" w:line="480"/>
        <w:rPr/>
      </w:pPr>
      <w:r>
        <w:rPr/>
        <w:tab/>
        <w:t>Lastly, Section 4.3 of the Operation Agreement establishes a “Backstop Obligation,” by which the TOs commit to pay National Grid for any difference between collected costs and the annual $14 million management fee.  The Backstop Obligation creates the possibility that National Grid’s financial well-being as the Managing Member will be dependent upon a revenue stream directly from the Alliance TOs.  The arrangement creates at least a perception that National Grid would be particularly beholden to the Alliance TOs.  This apparent lack of independence is contrary to the Commission’s directives.</w:t>
      </w:r>
    </w:p>
    <w:p>
      <w:pPr>
        <w:pStyle w:val="BodyText"/>
        <w:ind w:firstLine="720" w:end="0"/>
        <w:rPr>
          <w:b/>
        </w:rPr>
      </w:pPr>
      <w:r>
        <w:rPr>
          <w:b/>
        </w:rPr>
        <w:t>B.</w:t>
        <w:tab/>
        <w:t>The absence of a meaningful stakeholder process effectively deprives market participants of any significant voice in the management of Transco.</w:t>
      </w:r>
    </w:p>
    <w:p>
      <w:pPr>
        <w:pStyle w:val="BodyTextDS"/>
        <w:rPr/>
      </w:pPr>
      <w:r>
        <w:rPr/>
        <w:tab/>
        <w:t xml:space="preserve">Although the LLC Agreement creates a Stakeholder Advisory Committee to advise and provide guidance to the Transco Board, in practice, this arrangement does not provide sufficient means for ensuring meaningful stakeholder input and Board accountability.  An essential feature of an independent RTO is an effective dialogue between stakeholders and the Board on strategic and business decisions.  The stakeholder advisory process should require access to the Board, making it accountable to the stakeholder advisory committee for its decisions.  A process that merely allows stakeholders to pass along their recommendations to the Board indirectly through Alliance Transco management representatives reduces the proposed Stakeholder Advisory Committee to a nominal function.  </w:t>
      </w:r>
    </w:p>
    <w:p>
      <w:pPr>
        <w:pStyle w:val="BodyTextDS2"/>
        <w:rPr/>
      </w:pPr>
      <w:r>
        <w:rPr/>
        <w:t>The only formal communication process contemplated by the Alliance Companies' plan is the attendance of the Managing Member's representative to Advisory Committee meetings.  Although the Advisory Committee may provide advice to the Managing Member through its representative, this arrangement falls short of any effective interchange between the Board and stakeholder advisors.  An effective stakeholder process not only will facilitate amicable resolutions between parties but will also provide parties with a useful opportunity to resolve disputes before seeking Commission intervention.</w:t>
      </w:r>
    </w:p>
    <w:p>
      <w:pPr>
        <w:pStyle w:val="BodyText"/>
        <w:spacing w:before="0" w:after="0"/>
        <w:jc w:val="center"/>
        <w:rPr>
          <w:b/>
        </w:rPr>
      </w:pPr>
      <w:r>
        <w:rPr>
          <w:b/>
        </w:rPr>
        <w:t>IV.</w:t>
      </w:r>
    </w:p>
    <w:p>
      <w:pPr>
        <w:pStyle w:val="BodyText"/>
        <w:spacing w:before="0" w:after="0"/>
        <w:jc w:val="center"/>
        <w:rPr>
          <w:b/>
        </w:rPr>
      </w:pPr>
      <w:r>
        <w:rPr>
          <w:b/>
        </w:rPr>
        <w:t>CONCLUSION</w:t>
      </w:r>
    </w:p>
    <w:p>
      <w:pPr>
        <w:pStyle w:val="BodyText"/>
        <w:spacing w:before="0" w:after="0"/>
        <w:jc w:val="center"/>
        <w:rPr>
          <w:b/>
        </w:rPr>
      </w:pPr>
      <w:r>
        <w:rPr>
          <w:b/>
        </w:rPr>
      </w:r>
    </w:p>
    <w:p>
      <w:pPr>
        <w:pStyle w:val="BodyTextDS"/>
        <w:rPr/>
      </w:pPr>
      <w:r>
        <w:rPr/>
        <w:tab/>
        <w:t>For the reasons discussed herein, the Competitive Coalition respectfully requests that the Commission reject the Definitive Agreements to establish National Grid as the Managing Member of the Alliance RTO and order the Alliance Companies to establish an independent governing board and meaningful stakeholder process immediately.</w:t>
      </w:r>
      <w:r>
        <w:br w:type="page"/>
      </w:r>
    </w:p>
    <w:p>
      <w:pPr>
        <w:pStyle w:val="Normal"/>
        <w:spacing w:lineRule="auto" w:line="480"/>
        <w:rPr>
          <w:color w:val="000000"/>
        </w:rPr>
      </w:pPr>
      <w:r>
        <w:rPr>
          <w:color w:val="000000"/>
        </w:rPr>
        <w:t>Dated: November 27, 2001</w:t>
        <w:tab/>
        <w:tab/>
        <w:tab/>
        <w:tab/>
        <w:t>Respectfully Submitted,</w:t>
      </w:r>
    </w:p>
    <w:p>
      <w:pPr>
        <w:pStyle w:val="Normal"/>
        <w:spacing w:lineRule="auto" w:line="480"/>
        <w:ind w:firstLine="720" w:start="4320" w:end="0"/>
        <w:rPr>
          <w:color w:val="000000"/>
        </w:rPr>
      </w:pPr>
      <w:r>
        <w:rPr>
          <w:color w:val="000000"/>
        </w:rPr>
        <w:tab/>
        <w:tab/>
        <w:tab/>
        <w:tab/>
        <w:tab/>
        <w:tab/>
        <w:tab/>
        <w:t>ORION POWER MIDWEST, L.P.</w:t>
      </w:r>
    </w:p>
    <w:p>
      <w:pPr>
        <w:pStyle w:val="Normal"/>
        <w:spacing w:lineRule="auto" w:line="480"/>
        <w:rPr>
          <w:color w:val="000000"/>
        </w:rPr>
      </w:pPr>
      <w:r>
        <w:rPr>
          <w:color w:val="000000"/>
        </w:rPr>
      </w:r>
    </w:p>
    <w:p>
      <w:pPr>
        <w:pStyle w:val="Normal"/>
        <w:ind w:firstLine="720" w:start="4320" w:end="0"/>
        <w:rPr>
          <w:color w:val="000000"/>
          <w:u w:val="single"/>
        </w:rPr>
      </w:pPr>
      <w:r>
        <w:rPr>
          <w:color w:val="000000"/>
          <w:u w:val="single"/>
        </w:rPr>
        <w:t>_________________________________</w:t>
      </w:r>
    </w:p>
    <w:p>
      <w:pPr>
        <w:pStyle w:val="Normal"/>
        <w:ind w:firstLine="720" w:start="4320" w:end="0"/>
        <w:rPr>
          <w:color w:val="000000"/>
        </w:rPr>
      </w:pPr>
      <w:r>
        <w:rPr>
          <w:color w:val="000000"/>
        </w:rPr>
        <w:t>Mitchell F. Hertz, Esq.</w:t>
      </w:r>
    </w:p>
    <w:p>
      <w:pPr>
        <w:pStyle w:val="Normal"/>
        <w:ind w:firstLine="720" w:start="4320" w:end="0"/>
        <w:rPr>
          <w:color w:val="000000"/>
        </w:rPr>
      </w:pPr>
      <w:r>
        <w:rPr>
          <w:color w:val="000000"/>
        </w:rPr>
        <w:t>Elaine M. Walsh, Esq.</w:t>
      </w:r>
    </w:p>
    <w:p>
      <w:pPr>
        <w:pStyle w:val="Normal"/>
        <w:ind w:firstLine="720" w:start="4320" w:end="0"/>
        <w:rPr>
          <w:color w:val="000000"/>
        </w:rPr>
      </w:pPr>
      <w:r>
        <w:rPr>
          <w:color w:val="000000"/>
        </w:rPr>
        <w:t>KIRKLAND &amp; ELLIS</w:t>
      </w:r>
    </w:p>
    <w:p>
      <w:pPr>
        <w:pStyle w:val="Normal"/>
        <w:ind w:firstLine="720" w:start="4320" w:end="0"/>
        <w:rPr>
          <w:color w:val="000000"/>
        </w:rPr>
      </w:pPr>
      <w:r>
        <w:rPr>
          <w:color w:val="000000"/>
        </w:rPr>
        <w:t xml:space="preserve">655 Fifteenth St., N.W. </w:t>
      </w:r>
    </w:p>
    <w:p>
      <w:pPr>
        <w:pStyle w:val="Normal"/>
        <w:ind w:firstLine="720" w:start="4320" w:end="0"/>
        <w:rPr>
          <w:color w:val="000000"/>
        </w:rPr>
      </w:pPr>
      <w:r>
        <w:rPr>
          <w:color w:val="000000"/>
        </w:rPr>
        <w:t>Washington, D.C. 20005</w:t>
      </w:r>
    </w:p>
    <w:p>
      <w:pPr>
        <w:pStyle w:val="Normal"/>
        <w:ind w:firstLine="720" w:start="4320" w:end="0"/>
        <w:rPr>
          <w:color w:val="000000"/>
        </w:rPr>
      </w:pPr>
      <w:r>
        <w:rPr>
          <w:color w:val="000000"/>
        </w:rPr>
        <w:t>Tel:  (202) 879-5044</w:t>
      </w:r>
    </w:p>
    <w:p>
      <w:pPr>
        <w:pStyle w:val="Normal"/>
        <w:ind w:firstLine="720" w:start="4320" w:end="0"/>
        <w:rPr>
          <w:color w:val="000000"/>
        </w:rPr>
      </w:pPr>
      <w:r>
        <w:rPr>
          <w:color w:val="000000"/>
        </w:rPr>
        <w:t>Fax: (202) 879-5200</w:t>
      </w:r>
    </w:p>
    <w:p>
      <w:pPr>
        <w:pStyle w:val="Normal"/>
        <w:rPr>
          <w:color w:val="000000"/>
        </w:rPr>
      </w:pPr>
      <w:r>
        <w:rPr>
          <w:color w:val="000000"/>
        </w:rPr>
      </w:r>
    </w:p>
    <w:p>
      <w:pPr>
        <w:pStyle w:val="Normal"/>
        <w:spacing w:lineRule="auto" w:line="480"/>
        <w:rPr>
          <w:color w:val="000000"/>
        </w:rPr>
      </w:pPr>
      <w:r>
        <w:rPr>
          <w:color w:val="000000"/>
        </w:rPr>
        <w:tab/>
        <w:tab/>
        <w:tab/>
        <w:tab/>
        <w:tab/>
        <w:tab/>
        <w:tab/>
        <w:t>Attorneys for Orion Power MidWest, L.P</w:t>
      </w:r>
    </w:p>
    <w:p>
      <w:pPr>
        <w:pStyle w:val="Normal"/>
        <w:spacing w:lineRule="auto" w:line="480"/>
        <w:rPr>
          <w:color w:val="000000"/>
        </w:rPr>
      </w:pPr>
      <w:r>
        <w:rPr>
          <w:color w:val="000000"/>
        </w:rPr>
        <w:tab/>
        <w:tab/>
        <w:tab/>
        <w:tab/>
        <w:tab/>
        <w:tab/>
        <w:tab/>
      </w:r>
    </w:p>
    <w:p>
      <w:pPr>
        <w:pStyle w:val="Normal"/>
        <w:spacing w:lineRule="auto" w:line="480"/>
        <w:rPr>
          <w:color w:val="000000"/>
        </w:rPr>
      </w:pPr>
      <w:r>
        <w:rPr>
          <w:color w:val="000000"/>
        </w:rPr>
        <w:tab/>
        <w:tab/>
        <w:tab/>
        <w:tab/>
        <w:tab/>
        <w:tab/>
        <w:tab/>
        <w:t>THE NRG COMPANIES</w:t>
      </w:r>
    </w:p>
    <w:p>
      <w:pPr>
        <w:pStyle w:val="Normal"/>
        <w:spacing w:lineRule="auto" w:line="480"/>
        <w:rPr>
          <w:color w:val="000000"/>
        </w:rPr>
      </w:pPr>
      <w:r>
        <w:rPr>
          <w:color w:val="000000"/>
        </w:rPr>
      </w:r>
    </w:p>
    <w:p>
      <w:pPr>
        <w:pStyle w:val="Normal"/>
        <w:ind w:firstLine="720" w:start="4320" w:end="0"/>
        <w:rPr>
          <w:color w:val="000000"/>
          <w:u w:val="single"/>
        </w:rPr>
      </w:pPr>
      <w:r>
        <w:rPr>
          <w:color w:val="000000"/>
          <w:u w:val="single"/>
        </w:rPr>
        <w:t>_________________________________</w:t>
      </w:r>
    </w:p>
    <w:p>
      <w:pPr>
        <w:pStyle w:val="Normal"/>
        <w:numPr>
          <w:ilvl w:val="0"/>
          <w:numId w:val="0"/>
        </w:numPr>
        <w:ind w:firstLine="720" w:start="4320" w:end="0"/>
        <w:outlineLvl w:val="0"/>
        <w:rPr>
          <w:color w:val="000000"/>
        </w:rPr>
      </w:pPr>
      <w:r>
        <w:rPr>
          <w:color w:val="000000"/>
        </w:rPr>
        <w:t>Robert Y. Hirasuna</w:t>
      </w:r>
    </w:p>
    <w:p>
      <w:pPr>
        <w:pStyle w:val="Normal"/>
        <w:ind w:firstLine="720" w:start="4320" w:end="0"/>
        <w:rPr>
          <w:color w:val="000000"/>
        </w:rPr>
      </w:pPr>
      <w:r>
        <w:rPr>
          <w:color w:val="000000"/>
        </w:rPr>
        <w:t>LEONARD, STREET AND DEINARD PA</w:t>
      </w:r>
    </w:p>
    <w:p>
      <w:pPr>
        <w:pStyle w:val="Normal"/>
        <w:ind w:firstLine="720" w:start="4320" w:end="0"/>
        <w:rPr>
          <w:color w:val="000000"/>
        </w:rPr>
      </w:pPr>
      <w:r>
        <w:rPr>
          <w:color w:val="000000"/>
        </w:rPr>
        <w:t xml:space="preserve">601 Pennsylvania Ave., N.W. </w:t>
      </w:r>
    </w:p>
    <w:p>
      <w:pPr>
        <w:pStyle w:val="Normal"/>
        <w:ind w:firstLine="720" w:start="4320" w:end="0"/>
        <w:rPr>
          <w:color w:val="000000"/>
        </w:rPr>
      </w:pPr>
      <w:r>
        <w:rPr>
          <w:color w:val="000000"/>
        </w:rPr>
        <w:t>Suite 900, South Building</w:t>
      </w:r>
    </w:p>
    <w:p>
      <w:pPr>
        <w:pStyle w:val="Normal"/>
        <w:ind w:firstLine="720" w:start="4320" w:end="0"/>
        <w:rPr>
          <w:color w:val="000000"/>
        </w:rPr>
      </w:pPr>
      <w:r>
        <w:rPr>
          <w:color w:val="000000"/>
        </w:rPr>
        <w:t>Washington, D.C. 20004</w:t>
      </w:r>
    </w:p>
    <w:p>
      <w:pPr>
        <w:pStyle w:val="Normal"/>
        <w:ind w:firstLine="720" w:start="4320" w:end="0"/>
        <w:rPr>
          <w:color w:val="000000"/>
        </w:rPr>
      </w:pPr>
      <w:r>
        <w:rPr>
          <w:color w:val="000000"/>
        </w:rPr>
        <w:t>Tel:  (202) 220-3158</w:t>
      </w:r>
    </w:p>
    <w:p>
      <w:pPr>
        <w:pStyle w:val="Normal"/>
        <w:ind w:firstLine="720" w:start="4320" w:end="0"/>
        <w:rPr>
          <w:color w:val="000000"/>
        </w:rPr>
      </w:pPr>
      <w:r>
        <w:rPr>
          <w:color w:val="000000"/>
        </w:rPr>
        <w:t>Fax: (202) 220-3166</w:t>
      </w:r>
    </w:p>
    <w:p>
      <w:pPr>
        <w:pStyle w:val="Normal"/>
        <w:rPr>
          <w:color w:val="000000"/>
        </w:rPr>
      </w:pPr>
      <w:r>
        <w:rPr>
          <w:color w:val="000000"/>
        </w:rPr>
      </w:r>
    </w:p>
    <w:p>
      <w:pPr>
        <w:pStyle w:val="Normal"/>
        <w:ind w:firstLine="720" w:start="4320" w:end="0"/>
        <w:jc w:val="both"/>
        <w:rPr>
          <w:color w:val="000000"/>
        </w:rPr>
      </w:pPr>
      <w:r>
        <w:rPr>
          <w:color w:val="000000"/>
        </w:rPr>
        <w:t>Attorneys for the NRG Companies</w:t>
      </w:r>
    </w:p>
    <w:p>
      <w:pPr>
        <w:pStyle w:val="Normal"/>
        <w:ind w:firstLine="720" w:start="4320" w:end="0"/>
        <w:jc w:val="both"/>
        <w:rPr>
          <w:color w:val="000000"/>
        </w:rPr>
      </w:pPr>
      <w:r>
        <w:rPr>
          <w:color w:val="000000"/>
        </w:rPr>
      </w:r>
    </w:p>
    <w:p>
      <w:pPr>
        <w:pStyle w:val="Normal"/>
        <w:ind w:firstLine="720" w:start="4320" w:end="0"/>
        <w:jc w:val="both"/>
        <w:rPr>
          <w:color w:val="000000"/>
        </w:rPr>
      </w:pPr>
      <w:r>
        <w:rPr>
          <w:color w:val="000000"/>
        </w:rPr>
        <w:t xml:space="preserve">AES </w:t>
      </w:r>
      <w:r>
        <w:rPr>
          <w:rFonts w:cs="Times;Times New Roman" w:ascii="Times;Times New Roman" w:hAnsi="Times;Times New Roman"/>
          <w:caps/>
          <w:color w:val="000000"/>
        </w:rPr>
        <w:t>NewEnergy, Inc.</w:t>
      </w:r>
    </w:p>
    <w:p>
      <w:pPr>
        <w:pStyle w:val="Normal"/>
        <w:spacing w:lineRule="auto" w:line="480"/>
        <w:rPr>
          <w:color w:val="000000"/>
        </w:rPr>
      </w:pPr>
      <w:r>
        <w:rPr>
          <w:color w:val="000000"/>
        </w:rPr>
      </w:r>
    </w:p>
    <w:p>
      <w:pPr>
        <w:pStyle w:val="Normal"/>
        <w:ind w:firstLine="720" w:start="4320" w:end="0"/>
        <w:rPr>
          <w:color w:val="000000"/>
          <w:u w:val="single"/>
        </w:rPr>
      </w:pPr>
      <w:r>
        <w:rPr>
          <w:color w:val="000000"/>
          <w:u w:val="single"/>
        </w:rPr>
        <w:t>_________________________________</w:t>
      </w:r>
    </w:p>
    <w:p>
      <w:pPr>
        <w:pStyle w:val="Normal"/>
        <w:numPr>
          <w:ilvl w:val="0"/>
          <w:numId w:val="0"/>
        </w:numPr>
        <w:ind w:firstLine="720" w:start="4320" w:end="0"/>
        <w:outlineLvl w:val="0"/>
        <w:rPr>
          <w:color w:val="000000"/>
        </w:rPr>
      </w:pPr>
      <w:r>
        <w:rPr>
          <w:color w:val="000000"/>
        </w:rPr>
        <w:t>Mario A. Bohorquez</w:t>
      </w:r>
    </w:p>
    <w:p>
      <w:pPr>
        <w:pStyle w:val="Normal"/>
        <w:ind w:firstLine="720" w:start="4320" w:end="0"/>
        <w:rPr>
          <w:color w:val="000000"/>
        </w:rPr>
      </w:pPr>
      <w:r>
        <w:rPr>
          <w:color w:val="000000"/>
        </w:rPr>
        <w:t xml:space="preserve">Director, Supply and Operations </w:t>
      </w:r>
    </w:p>
    <w:p>
      <w:pPr>
        <w:pStyle w:val="Normal"/>
        <w:ind w:firstLine="720" w:start="4320" w:end="0"/>
        <w:rPr>
          <w:color w:val="000000"/>
        </w:rPr>
      </w:pPr>
      <w:r>
        <w:rPr>
          <w:color w:val="000000"/>
        </w:rPr>
        <w:t xml:space="preserve">AES NewEnergy, Inc. </w:t>
      </w:r>
    </w:p>
    <w:p>
      <w:pPr>
        <w:pStyle w:val="Normal"/>
        <w:ind w:firstLine="720" w:start="4320" w:end="0"/>
        <w:rPr>
          <w:color w:val="000000"/>
        </w:rPr>
      </w:pPr>
      <w:r>
        <w:rPr>
          <w:color w:val="000000"/>
        </w:rPr>
        <w:t>309 West Washington Street</w:t>
      </w:r>
    </w:p>
    <w:p>
      <w:pPr>
        <w:pStyle w:val="Normal"/>
        <w:ind w:firstLine="720" w:start="4320" w:end="0"/>
        <w:rPr>
          <w:color w:val="000000"/>
        </w:rPr>
      </w:pPr>
      <w:r>
        <w:rPr>
          <w:color w:val="000000"/>
        </w:rPr>
        <w:t>Suite 1100</w:t>
      </w:r>
    </w:p>
    <w:p>
      <w:pPr>
        <w:pStyle w:val="Normal"/>
        <w:ind w:firstLine="720" w:start="4320" w:end="0"/>
        <w:rPr>
          <w:color w:val="000000"/>
        </w:rPr>
      </w:pPr>
      <w:r>
        <w:rPr>
          <w:color w:val="000000"/>
        </w:rPr>
        <w:t>Chicago, IL 60606</w:t>
      </w:r>
    </w:p>
    <w:p>
      <w:pPr>
        <w:pStyle w:val="Normal"/>
        <w:ind w:firstLine="720" w:start="4320" w:end="0"/>
        <w:rPr>
          <w:color w:val="000000"/>
        </w:rPr>
      </w:pPr>
      <w:r>
        <w:rPr>
          <w:color w:val="000000"/>
        </w:rPr>
        <w:t>Tel:  (312) 704-9212</w:t>
      </w:r>
    </w:p>
    <w:p>
      <w:pPr>
        <w:pStyle w:val="Normal"/>
        <w:ind w:firstLine="720" w:start="4320" w:end="0"/>
        <w:rPr>
          <w:color w:val="000000"/>
        </w:rPr>
      </w:pPr>
      <w:r>
        <w:rPr>
          <w:color w:val="000000"/>
        </w:rPr>
        <w:t>Fax: (312) 704-8530</w:t>
      </w:r>
    </w:p>
    <w:p>
      <w:pPr>
        <w:pStyle w:val="Normal"/>
        <w:ind w:firstLine="720" w:start="4320" w:end="0"/>
        <w:rPr>
          <w:color w:val="000000"/>
        </w:rPr>
      </w:pPr>
      <w:hyperlink r:id="rId2">
        <w:r>
          <w:rPr>
            <w:rStyle w:val="Hyperlink"/>
          </w:rPr>
          <w:t>mbohorquez@aesmail.com</w:t>
        </w:r>
      </w:hyperlink>
    </w:p>
    <w:p>
      <w:pPr>
        <w:pStyle w:val="Normal"/>
        <w:ind w:firstLine="720" w:start="4320" w:end="0"/>
        <w:rPr>
          <w:color w:val="000000"/>
        </w:rPr>
      </w:pPr>
      <w:r>
        <w:rPr>
          <w:color w:val="000000"/>
        </w:rPr>
      </w:r>
    </w:p>
    <w:p>
      <w:pPr>
        <w:pStyle w:val="Normal"/>
        <w:ind w:firstLine="720" w:start="4320" w:end="0"/>
        <w:rPr>
          <w:color w:val="000000"/>
        </w:rPr>
      </w:pPr>
      <w:r>
        <w:rPr>
          <w:color w:val="000000"/>
        </w:rPr>
        <w:t>THE MIRANT ENTITIES</w:t>
      </w:r>
    </w:p>
    <w:p>
      <w:pPr>
        <w:pStyle w:val="Normal"/>
        <w:ind w:firstLine="720" w:start="4320" w:end="0"/>
        <w:rPr>
          <w:color w:val="000000"/>
        </w:rPr>
      </w:pPr>
      <w:r>
        <w:rPr>
          <w:color w:val="000000"/>
        </w:rPr>
      </w:r>
    </w:p>
    <w:p>
      <w:pPr>
        <w:pStyle w:val="Normal"/>
        <w:ind w:firstLine="720" w:start="4320" w:end="0"/>
        <w:rPr>
          <w:color w:val="000000"/>
        </w:rPr>
      </w:pPr>
      <w:r>
        <w:rPr>
          <w:color w:val="000000"/>
        </w:rPr>
      </w:r>
    </w:p>
    <w:p>
      <w:pPr>
        <w:pStyle w:val="Normal"/>
        <w:ind w:firstLine="720" w:start="4320" w:end="0"/>
        <w:rPr>
          <w:color w:val="000000"/>
        </w:rPr>
      </w:pPr>
      <w:r>
        <w:rPr>
          <w:color w:val="000000"/>
        </w:rPr>
      </w:r>
    </w:p>
    <w:p>
      <w:pPr>
        <w:pStyle w:val="Normal"/>
        <w:ind w:firstLine="720" w:start="4320" w:end="0"/>
        <w:rPr>
          <w:color w:val="000000"/>
          <w:u w:val="single"/>
        </w:rPr>
      </w:pPr>
      <w:r>
        <w:rPr>
          <w:color w:val="000000"/>
          <w:u w:val="single"/>
        </w:rPr>
        <w:t>_________________________________</w:t>
      </w:r>
    </w:p>
    <w:p>
      <w:pPr>
        <w:pStyle w:val="Normal"/>
        <w:ind w:firstLine="720" w:start="4320" w:end="0"/>
        <w:rPr>
          <w:color w:val="000000"/>
        </w:rPr>
      </w:pPr>
      <w:r>
        <w:rPr>
          <w:color w:val="000000"/>
        </w:rPr>
        <w:t>Debra Raggio Bolton</w:t>
      </w:r>
    </w:p>
    <w:p>
      <w:pPr>
        <w:pStyle w:val="Normal"/>
        <w:ind w:firstLine="720" w:start="4320" w:end="0"/>
        <w:rPr>
          <w:color w:val="000000"/>
        </w:rPr>
      </w:pPr>
      <w:r>
        <w:rPr>
          <w:color w:val="000000"/>
        </w:rPr>
        <w:t>Senior Attorney</w:t>
      </w:r>
    </w:p>
    <w:p>
      <w:pPr>
        <w:pStyle w:val="Normal"/>
        <w:ind w:firstLine="720" w:start="4320" w:end="0"/>
        <w:rPr>
          <w:color w:val="000000"/>
        </w:rPr>
      </w:pPr>
      <w:r>
        <w:rPr>
          <w:color w:val="000000"/>
        </w:rPr>
        <w:t>Mirant Americas Inc.</w:t>
      </w:r>
    </w:p>
    <w:p>
      <w:pPr>
        <w:pStyle w:val="Normal"/>
        <w:ind w:firstLine="720" w:start="4320" w:end="0"/>
        <w:rPr>
          <w:color w:val="000000"/>
        </w:rPr>
      </w:pPr>
      <w:r>
        <w:rPr>
          <w:color w:val="000000"/>
        </w:rPr>
        <w:t>901 F. Street, N.W. Suite 800</w:t>
      </w:r>
    </w:p>
    <w:p>
      <w:pPr>
        <w:pStyle w:val="Normal"/>
        <w:ind w:firstLine="720" w:start="4320" w:end="0"/>
        <w:rPr>
          <w:color w:val="000000"/>
        </w:rPr>
      </w:pPr>
      <w:r>
        <w:rPr>
          <w:color w:val="000000"/>
        </w:rPr>
        <w:t>Washington, D.C 20004</w:t>
      </w:r>
    </w:p>
    <w:p>
      <w:pPr>
        <w:pStyle w:val="Normal"/>
        <w:ind w:firstLine="720" w:start="4320" w:end="0"/>
        <w:rPr>
          <w:color w:val="000000"/>
        </w:rPr>
      </w:pPr>
      <w:r>
        <w:rPr>
          <w:color w:val="000000"/>
        </w:rPr>
        <w:t>(202) 585 3809 (phone)</w:t>
      </w:r>
    </w:p>
    <w:p>
      <w:pPr>
        <w:pStyle w:val="Normal"/>
        <w:ind w:firstLine="720" w:start="4320" w:end="0"/>
        <w:rPr>
          <w:color w:val="000000"/>
        </w:rPr>
      </w:pPr>
      <w:r>
        <w:rPr>
          <w:color w:val="000000"/>
        </w:rPr>
        <w:t>(678) 579 5942 (fax)</w:t>
      </w:r>
    </w:p>
    <w:p>
      <w:pPr>
        <w:pStyle w:val="Normal"/>
        <w:ind w:firstLine="720" w:start="4320" w:end="0"/>
        <w:rPr/>
      </w:pPr>
      <w:hyperlink r:id="rId3">
        <w:r>
          <w:rPr>
            <w:rStyle w:val="Hyperlink"/>
          </w:rPr>
          <w:t>debra.bolton@mirant.com</w:t>
        </w:r>
      </w:hyperlink>
      <w:r>
        <w:rPr>
          <w:color w:val="000000"/>
        </w:rPr>
        <w:t xml:space="preserve"> (email)</w:t>
      </w:r>
    </w:p>
    <w:p>
      <w:pPr>
        <w:pStyle w:val="Normal"/>
        <w:jc w:val="both"/>
        <w:rPr>
          <w:color w:val="000000"/>
        </w:rPr>
      </w:pPr>
      <w:r>
        <w:rPr>
          <w:color w:val="000000"/>
        </w:rPr>
      </w:r>
    </w:p>
    <w:p>
      <w:pPr>
        <w:pStyle w:val="Normal"/>
        <w:jc w:val="both"/>
        <w:rPr/>
      </w:pPr>
      <w:r>
        <w:rPr/>
      </w:r>
    </w:p>
    <w:p>
      <w:pPr>
        <w:pStyle w:val="Normal"/>
        <w:ind w:start="5040" w:end="0"/>
        <w:rPr/>
      </w:pPr>
      <w:r>
        <w:rPr/>
        <w:t>PUBLIC SERVICE ELECTRIC AND GAS COMPANY, PSEG POWER LLC AND PSEG ENERGY TRADE &amp; RESOURCES LLC</w:t>
      </w:r>
    </w:p>
    <w:p>
      <w:pPr>
        <w:pStyle w:val="Header"/>
        <w:tabs>
          <w:tab w:val="center" w:pos="4680" w:leader="none"/>
          <w:tab w:val="left" w:pos="5040" w:leader="none"/>
          <w:tab w:val="right" w:pos="9360" w:leader="none"/>
        </w:tabs>
        <w:rPr/>
      </w:pPr>
      <w:r>
        <w:rPr/>
      </w:r>
    </w:p>
    <w:p>
      <w:pPr>
        <w:pStyle w:val="Header"/>
        <w:tabs>
          <w:tab w:val="center" w:pos="4680" w:leader="none"/>
          <w:tab w:val="left" w:pos="5040" w:leader="none"/>
          <w:tab w:val="right" w:pos="9360" w:leader="none"/>
        </w:tabs>
        <w:rPr/>
      </w:pPr>
      <w:r>
        <w:rPr/>
      </w:r>
    </w:p>
    <w:p>
      <w:pPr>
        <w:pStyle w:val="Header"/>
        <w:tabs>
          <w:tab w:val="center" w:pos="4680" w:leader="none"/>
          <w:tab w:val="left" w:pos="5040" w:leader="none"/>
          <w:tab w:val="right" w:pos="9360" w:leader="none"/>
        </w:tabs>
        <w:rPr/>
      </w:pPr>
      <w:r>
        <w:rPr/>
      </w:r>
    </w:p>
    <w:p>
      <w:pPr>
        <w:pStyle w:val="Normal"/>
        <w:ind w:firstLine="720" w:start="4320" w:end="0"/>
        <w:rPr>
          <w:color w:val="000000"/>
          <w:u w:val="single"/>
        </w:rPr>
      </w:pPr>
      <w:r>
        <w:rPr>
          <w:color w:val="000000"/>
          <w:u w:val="single"/>
        </w:rPr>
        <w:t>_________________________________</w:t>
      </w:r>
    </w:p>
    <w:p>
      <w:pPr>
        <w:pStyle w:val="Normal"/>
        <w:ind w:start="5040" w:end="0"/>
        <w:rPr/>
      </w:pPr>
      <w:r>
        <w:rPr/>
        <w:t>Kenneth R. Carretta, Esq.</w:t>
      </w:r>
    </w:p>
    <w:p>
      <w:pPr>
        <w:pStyle w:val="Normal"/>
        <w:ind w:start="5040" w:end="0"/>
        <w:rPr/>
      </w:pPr>
      <w:r>
        <w:rPr/>
        <w:t>Pauline Foley, Esq.</w:t>
      </w:r>
    </w:p>
    <w:p>
      <w:pPr>
        <w:pStyle w:val="Normal"/>
        <w:ind w:start="5040" w:end="0"/>
        <w:rPr/>
      </w:pPr>
      <w:r>
        <w:rPr/>
        <w:t>PSEG Services Corporation</w:t>
      </w:r>
    </w:p>
    <w:p>
      <w:pPr>
        <w:pStyle w:val="Normal"/>
        <w:ind w:start="5040" w:end="0"/>
        <w:rPr/>
      </w:pPr>
      <w:r>
        <w:rPr/>
        <w:t>80 Park Plaza – T5G</w:t>
      </w:r>
    </w:p>
    <w:p>
      <w:pPr>
        <w:pStyle w:val="Normal"/>
        <w:ind w:start="5040" w:end="0"/>
        <w:rPr/>
      </w:pPr>
      <w:r>
        <w:rPr/>
        <w:t>Newark, New Jersey  07102</w:t>
      </w:r>
    </w:p>
    <w:p>
      <w:pPr>
        <w:pStyle w:val="Normal"/>
        <w:ind w:start="5040" w:end="0"/>
        <w:rPr/>
      </w:pPr>
      <w:r>
        <w:rPr/>
        <w:t>(973) 430-6462</w:t>
      </w:r>
    </w:p>
    <w:p>
      <w:pPr>
        <w:pStyle w:val="Normal"/>
        <w:ind w:start="5040" w:end="0"/>
        <w:rPr/>
      </w:pPr>
      <w:r>
        <w:rPr/>
        <w:t>kenneth.carretta@pseg.com</w:t>
      </w:r>
    </w:p>
    <w:p>
      <w:pPr>
        <w:pStyle w:val="Normal"/>
        <w:ind w:start="5040" w:end="0"/>
        <w:rPr/>
      </w:pPr>
      <w:r>
        <w:rPr/>
        <w:t>pauline.foley@pseg.com</w:t>
      </w:r>
    </w:p>
    <w:p>
      <w:pPr>
        <w:pStyle w:val="Normal"/>
        <w:ind w:start="5040" w:end="0"/>
        <w:rPr/>
      </w:pPr>
      <w:r>
        <w:rPr/>
      </w:r>
    </w:p>
    <w:p>
      <w:pPr>
        <w:pStyle w:val="Normal"/>
        <w:rPr/>
      </w:pPr>
      <w:r>
        <w:rPr/>
      </w:r>
    </w:p>
    <w:p>
      <w:pPr>
        <w:pStyle w:val="Normal"/>
        <w:ind w:firstLine="720" w:end="0"/>
        <w:rPr>
          <w:color w:val="000000"/>
        </w:rPr>
      </w:pPr>
      <w:r>
        <w:rPr>
          <w:color w:val="000000"/>
        </w:rPr>
        <w:tab/>
        <w:tab/>
        <w:tab/>
        <w:tab/>
        <w:tab/>
        <w:tab/>
        <w:t>PG&amp;E NATIONAL ENERGY GROUP</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ind w:firstLine="720" w:start="4320" w:end="0"/>
        <w:rPr>
          <w:color w:val="000000"/>
          <w:u w:val="single"/>
        </w:rPr>
      </w:pPr>
      <w:r>
        <w:rPr>
          <w:color w:val="000000"/>
          <w:u w:val="single"/>
        </w:rPr>
        <w:t>_________________________________</w:t>
      </w:r>
    </w:p>
    <w:p>
      <w:pPr>
        <w:pStyle w:val="Normal"/>
        <w:autoSpaceDE w:val="false"/>
        <w:ind w:start="720" w:end="0"/>
        <w:rPr/>
      </w:pPr>
      <w:r>
        <w:rPr>
          <w:color w:val="000000"/>
        </w:rPr>
        <w:tab/>
        <w:tab/>
        <w:tab/>
        <w:tab/>
        <w:tab/>
        <w:tab/>
      </w:r>
      <w:r>
        <w:rPr/>
        <w:t>John K. Hawks</w:t>
      </w:r>
    </w:p>
    <w:p>
      <w:pPr>
        <w:pStyle w:val="Normal"/>
        <w:autoSpaceDE w:val="false"/>
        <w:ind w:start="5040" w:end="0"/>
        <w:rPr/>
      </w:pPr>
      <w:r>
        <w:rPr/>
        <w:t>PG&amp;E National Energy Group</w:t>
      </w:r>
    </w:p>
    <w:p>
      <w:pPr>
        <w:pStyle w:val="Normal"/>
        <w:autoSpaceDE w:val="false"/>
        <w:ind w:start="5040" w:end="0"/>
        <w:rPr/>
      </w:pPr>
      <w:r>
        <w:rPr/>
        <w:t>7500 Old Georgetown Road</w:t>
      </w:r>
    </w:p>
    <w:p>
      <w:pPr>
        <w:pStyle w:val="Normal"/>
        <w:autoSpaceDE w:val="false"/>
        <w:ind w:start="5040" w:end="0"/>
        <w:rPr/>
      </w:pPr>
      <w:r>
        <w:rPr/>
        <w:t>Bethesda, Maryland 20814</w:t>
      </w:r>
    </w:p>
    <w:p>
      <w:pPr>
        <w:pStyle w:val="Normal"/>
        <w:autoSpaceDE w:val="false"/>
        <w:ind w:start="5040" w:end="0"/>
        <w:rPr/>
      </w:pPr>
      <w:r>
        <w:rPr/>
        <w:t>Telephone: (301) 280-6805</w:t>
      </w:r>
    </w:p>
    <w:p>
      <w:pPr>
        <w:pStyle w:val="Normal"/>
        <w:autoSpaceDE w:val="false"/>
        <w:ind w:start="5040" w:end="0"/>
        <w:rPr/>
      </w:pPr>
      <w:r>
        <w:rPr/>
        <w:t>Facsimile (301) 280-5701</w:t>
      </w:r>
    </w:p>
    <w:p>
      <w:pPr>
        <w:pStyle w:val="Normal"/>
        <w:autoSpaceDE w:val="false"/>
        <w:ind w:start="5040" w:end="0"/>
        <w:rPr/>
      </w:pPr>
      <w:r>
        <w:rPr/>
        <w:t>E-Mail: jack.hawks@neg.pge.com</w:t>
      </w:r>
    </w:p>
    <w:p>
      <w:pPr>
        <w:pStyle w:val="Normal"/>
        <w:ind w:firstLine="720" w:start="4320" w:end="0"/>
        <w:rPr>
          <w:color w:val="000000"/>
        </w:rPr>
      </w:pPr>
      <w:r>
        <w:rPr>
          <w:color w:val="000000"/>
        </w:rPr>
      </w:r>
    </w:p>
    <w:p>
      <w:pPr>
        <w:pStyle w:val="Normal"/>
        <w:spacing w:lineRule="auto" w:line="480"/>
        <w:ind w:firstLine="720" w:start="4320" w:end="0"/>
        <w:rPr>
          <w:color w:val="000000"/>
        </w:rPr>
      </w:pPr>
      <w:r>
        <w:rPr>
          <w:color w:val="000000"/>
        </w:rPr>
        <w:t>TENASKA, INC.</w:t>
      </w:r>
    </w:p>
    <w:p>
      <w:pPr>
        <w:pStyle w:val="Normal"/>
        <w:spacing w:lineRule="auto" w:line="480"/>
        <w:rPr>
          <w:color w:val="000000"/>
        </w:rPr>
      </w:pPr>
      <w:r>
        <w:rPr>
          <w:color w:val="000000"/>
        </w:rPr>
      </w:r>
    </w:p>
    <w:p>
      <w:pPr>
        <w:pStyle w:val="Normal"/>
        <w:ind w:firstLine="720" w:start="4320" w:end="0"/>
        <w:rPr>
          <w:color w:val="000000"/>
          <w:u w:val="single"/>
        </w:rPr>
      </w:pPr>
      <w:r>
        <w:rPr>
          <w:color w:val="000000"/>
          <w:u w:val="single"/>
        </w:rPr>
        <w:t>_________________________________</w:t>
      </w:r>
    </w:p>
    <w:p>
      <w:pPr>
        <w:pStyle w:val="Normal"/>
        <w:ind w:firstLine="720" w:start="4320" w:end="0"/>
        <w:rPr>
          <w:color w:val="000000"/>
        </w:rPr>
      </w:pPr>
      <w:r>
        <w:rPr>
          <w:color w:val="000000"/>
        </w:rPr>
        <w:t>Neil L. Levy, Esq.</w:t>
      </w:r>
    </w:p>
    <w:p>
      <w:pPr>
        <w:pStyle w:val="Normal"/>
        <w:ind w:firstLine="720" w:start="4320" w:end="0"/>
        <w:rPr>
          <w:color w:val="000000"/>
        </w:rPr>
      </w:pPr>
      <w:r>
        <w:rPr>
          <w:color w:val="000000"/>
        </w:rPr>
        <w:t>Elaine M. Walsh, Esq.</w:t>
      </w:r>
    </w:p>
    <w:p>
      <w:pPr>
        <w:pStyle w:val="Normal"/>
        <w:ind w:firstLine="720" w:start="4320" w:end="0"/>
        <w:rPr>
          <w:color w:val="000000"/>
        </w:rPr>
      </w:pPr>
      <w:r>
        <w:rPr>
          <w:color w:val="000000"/>
        </w:rPr>
        <w:t>KIRKLAND &amp; ELLIS</w:t>
      </w:r>
    </w:p>
    <w:p>
      <w:pPr>
        <w:pStyle w:val="Normal"/>
        <w:ind w:firstLine="720" w:start="4320" w:end="0"/>
        <w:rPr>
          <w:color w:val="000000"/>
        </w:rPr>
      </w:pPr>
      <w:r>
        <w:rPr>
          <w:color w:val="000000"/>
        </w:rPr>
        <w:t xml:space="preserve">655 Fifteenth St., N.W. </w:t>
      </w:r>
    </w:p>
    <w:p>
      <w:pPr>
        <w:pStyle w:val="Normal"/>
        <w:ind w:firstLine="720" w:start="4320" w:end="0"/>
        <w:rPr>
          <w:color w:val="000000"/>
        </w:rPr>
      </w:pPr>
      <w:r>
        <w:rPr>
          <w:color w:val="000000"/>
        </w:rPr>
        <w:t>Washington, D.C. 20005</w:t>
      </w:r>
    </w:p>
    <w:p>
      <w:pPr>
        <w:pStyle w:val="Normal"/>
        <w:ind w:firstLine="720" w:start="4320" w:end="0"/>
        <w:rPr>
          <w:color w:val="000000"/>
        </w:rPr>
      </w:pPr>
      <w:r>
        <w:rPr>
          <w:color w:val="000000"/>
        </w:rPr>
        <w:t>Tel:  (202) 879-5044</w:t>
      </w:r>
    </w:p>
    <w:p>
      <w:pPr>
        <w:pStyle w:val="Normal"/>
        <w:ind w:firstLine="720" w:start="4320" w:end="0"/>
        <w:rPr>
          <w:color w:val="000000"/>
        </w:rPr>
      </w:pPr>
      <w:r>
        <w:rPr>
          <w:color w:val="000000"/>
        </w:rPr>
        <w:t>Fax: (202) 879-5200</w:t>
      </w:r>
    </w:p>
    <w:p>
      <w:pPr>
        <w:pStyle w:val="Normal"/>
        <w:rPr>
          <w:color w:val="000000"/>
        </w:rPr>
      </w:pPr>
      <w:r>
        <w:rPr>
          <w:color w:val="000000"/>
        </w:rPr>
      </w:r>
    </w:p>
    <w:p>
      <w:pPr>
        <w:pStyle w:val="Normal"/>
        <w:ind w:firstLine="720" w:start="4320" w:end="0"/>
        <w:jc w:val="both"/>
        <w:rPr>
          <w:color w:val="000000"/>
        </w:rPr>
      </w:pPr>
      <w:r>
        <w:rPr>
          <w:color w:val="000000"/>
        </w:rPr>
        <w:t>Attorneys for Tenaska, Inc.</w:t>
      </w:r>
    </w:p>
    <w:p>
      <w:pPr>
        <w:pStyle w:val="Normal"/>
        <w:ind w:firstLine="720" w:start="4320" w:end="0"/>
        <w:jc w:val="both"/>
        <w:rPr>
          <w:color w:val="000000"/>
        </w:rPr>
      </w:pPr>
      <w:r>
        <w:rPr>
          <w:color w:val="000000"/>
        </w:rPr>
      </w:r>
    </w:p>
    <w:p>
      <w:pPr>
        <w:pStyle w:val="Normal"/>
        <w:jc w:val="both"/>
        <w:rPr/>
      </w:pPr>
      <w:r>
        <w:rPr/>
        <w:tab/>
        <w:tab/>
        <w:tab/>
        <w:tab/>
        <w:tab/>
        <w:tab/>
        <w:tab/>
        <w:t>CALPINE CORPORATION</w:t>
      </w:r>
    </w:p>
    <w:p>
      <w:pPr>
        <w:pStyle w:val="Normal"/>
        <w:jc w:val="both"/>
        <w:rPr/>
      </w:pPr>
      <w:r>
        <w:rPr/>
      </w:r>
    </w:p>
    <w:p>
      <w:pPr>
        <w:pStyle w:val="Normal"/>
        <w:jc w:val="both"/>
        <w:rPr/>
      </w:pPr>
      <w:r>
        <w:rPr/>
      </w:r>
    </w:p>
    <w:p>
      <w:pPr>
        <w:pStyle w:val="Normal"/>
        <w:jc w:val="both"/>
        <w:rPr/>
      </w:pPr>
      <w:r>
        <w:rPr/>
      </w:r>
    </w:p>
    <w:p>
      <w:pPr>
        <w:pStyle w:val="Normal"/>
        <w:ind w:firstLine="720" w:start="4320" w:end="0"/>
        <w:rPr>
          <w:color w:val="000000"/>
          <w:u w:val="single"/>
        </w:rPr>
      </w:pPr>
      <w:r>
        <w:rPr>
          <w:color w:val="000000"/>
          <w:u w:val="single"/>
        </w:rPr>
        <w:t>_________________________________</w:t>
      </w:r>
    </w:p>
    <w:p>
      <w:pPr>
        <w:pStyle w:val="Normal"/>
        <w:autoSpaceDE w:val="false"/>
        <w:rPr/>
      </w:pPr>
      <w:r>
        <w:rPr/>
        <w:tab/>
        <w:tab/>
        <w:tab/>
        <w:tab/>
        <w:tab/>
        <w:tab/>
        <w:tab/>
        <w:t>James Stanton</w:t>
      </w:r>
    </w:p>
    <w:p>
      <w:pPr>
        <w:pStyle w:val="Normal"/>
        <w:autoSpaceDE w:val="false"/>
        <w:ind w:firstLine="720" w:start="4320" w:end="0"/>
        <w:rPr/>
      </w:pPr>
      <w:r>
        <w:rPr/>
        <w:t>Manager of Market Policy</w:t>
      </w:r>
    </w:p>
    <w:p>
      <w:pPr>
        <w:pStyle w:val="Normal"/>
        <w:autoSpaceDE w:val="false"/>
        <w:ind w:start="5040" w:end="0"/>
        <w:rPr/>
      </w:pPr>
      <w:r>
        <w:rPr/>
        <w:t>Calpine Corporation</w:t>
      </w:r>
    </w:p>
    <w:p>
      <w:pPr>
        <w:pStyle w:val="Normal"/>
        <w:autoSpaceDE w:val="false"/>
        <w:ind w:start="5040" w:end="0"/>
        <w:rPr/>
      </w:pPr>
      <w:r>
        <w:rPr/>
        <w:t>700 Louisiana St., Ste. 700</w:t>
      </w:r>
    </w:p>
    <w:p>
      <w:pPr>
        <w:pStyle w:val="Normal"/>
        <w:autoSpaceDE w:val="false"/>
        <w:ind w:start="5040" w:end="0"/>
        <w:rPr/>
      </w:pPr>
      <w:r>
        <w:rPr/>
        <w:t>Houston, TX 77002</w:t>
      </w:r>
    </w:p>
    <w:p>
      <w:pPr>
        <w:pStyle w:val="Normal"/>
        <w:autoSpaceDE w:val="false"/>
        <w:ind w:start="5040" w:end="0"/>
        <w:rPr/>
      </w:pPr>
      <w:r>
        <w:rPr/>
        <w:t>713-830-8694</w:t>
      </w:r>
    </w:p>
    <w:p>
      <w:pPr>
        <w:pStyle w:val="Normal"/>
        <w:autoSpaceDE w:val="false"/>
        <w:ind w:start="5040" w:end="0"/>
        <w:rPr/>
      </w:pPr>
      <w:r>
        <w:rPr/>
        <w:t>jstanton@calpine.com</w:t>
      </w:r>
    </w:p>
    <w:p>
      <w:pPr>
        <w:pStyle w:val="Normal"/>
        <w:jc w:val="both"/>
        <w:rPr/>
      </w:pPr>
      <w:r>
        <w:rPr/>
      </w:r>
    </w:p>
    <w:p>
      <w:pPr>
        <w:pStyle w:val="Normal"/>
        <w:jc w:val="both"/>
        <w:rPr/>
      </w:pPr>
      <w:r>
        <w:rPr/>
        <w:tab/>
        <w:tab/>
        <w:tab/>
        <w:tab/>
        <w:tab/>
        <w:tab/>
        <w:tab/>
        <w:t xml:space="preserve">THE CONSTELLATION COMPANIES </w:t>
      </w:r>
    </w:p>
    <w:p>
      <w:pPr>
        <w:pStyle w:val="Normal"/>
        <w:jc w:val="both"/>
        <w:rPr/>
      </w:pPr>
      <w:r>
        <w:rPr/>
      </w:r>
    </w:p>
    <w:p>
      <w:pPr>
        <w:pStyle w:val="Normal"/>
        <w:jc w:val="both"/>
        <w:rPr/>
      </w:pPr>
      <w:r>
        <w:rPr/>
      </w:r>
    </w:p>
    <w:p>
      <w:pPr>
        <w:pStyle w:val="Normal"/>
        <w:jc w:val="both"/>
        <w:rPr/>
      </w:pPr>
      <w:r>
        <w:rPr/>
      </w:r>
    </w:p>
    <w:p>
      <w:pPr>
        <w:pStyle w:val="Normal"/>
        <w:ind w:firstLine="720" w:start="4320" w:end="0"/>
        <w:rPr>
          <w:color w:val="000000"/>
          <w:u w:val="single"/>
        </w:rPr>
      </w:pPr>
      <w:r>
        <w:rPr>
          <w:color w:val="000000"/>
          <w:u w:val="single"/>
        </w:rPr>
        <w:t>_________________________________</w:t>
      </w:r>
    </w:p>
    <w:p>
      <w:pPr>
        <w:pStyle w:val="Normal"/>
        <w:ind w:firstLine="720" w:start="1440" w:end="0"/>
        <w:rPr/>
      </w:pPr>
      <w:r>
        <w:rPr/>
        <w:tab/>
        <w:tab/>
        <w:tab/>
        <w:tab/>
        <w:t>Mr. David W. Taylor</w:t>
      </w:r>
    </w:p>
    <w:p>
      <w:pPr>
        <w:pStyle w:val="Normal"/>
        <w:ind w:firstLine="720" w:start="2160" w:end="0"/>
        <w:rPr/>
      </w:pPr>
      <w:r>
        <w:rPr/>
        <w:tab/>
        <w:tab/>
        <w:tab/>
        <w:t>Constellation Power Source, Inc.</w:t>
      </w:r>
    </w:p>
    <w:p>
      <w:pPr>
        <w:pStyle w:val="Normal"/>
        <w:ind w:firstLine="720" w:end="0"/>
        <w:jc w:val="both"/>
        <w:rPr/>
      </w:pPr>
      <w:r>
        <w:rPr/>
        <w:tab/>
        <w:tab/>
        <w:tab/>
        <w:tab/>
        <w:tab/>
        <w:tab/>
        <w:t>111 Market Place, Suite 500</w:t>
      </w:r>
    </w:p>
    <w:p>
      <w:pPr>
        <w:pStyle w:val="Normal"/>
        <w:ind w:firstLine="720" w:start="2160" w:end="0"/>
        <w:jc w:val="both"/>
        <w:rPr/>
      </w:pPr>
      <w:r>
        <w:rPr/>
        <w:tab/>
        <w:tab/>
        <w:tab/>
        <w:t>Baltimore, Maryland 21202</w:t>
      </w:r>
    </w:p>
    <w:p>
      <w:pPr>
        <w:pStyle w:val="Normal"/>
        <w:ind w:firstLine="720" w:start="2160" w:end="0"/>
        <w:jc w:val="both"/>
        <w:rPr/>
      </w:pPr>
      <w:r>
        <w:rPr/>
        <w:tab/>
        <w:tab/>
        <w:tab/>
        <w:t>Phone:  (410) 468-3478</w:t>
        <w:tab/>
      </w:r>
    </w:p>
    <w:p>
      <w:pPr>
        <w:pStyle w:val="Normal"/>
        <w:ind w:firstLine="720" w:start="2880" w:end="0"/>
        <w:jc w:val="both"/>
        <w:rPr/>
      </w:pPr>
      <w:r>
        <w:rPr/>
        <w:tab/>
        <w:tab/>
        <w:t>Facsimile:  (410) 468-3709</w:t>
      </w:r>
    </w:p>
    <w:p>
      <w:pPr>
        <w:pStyle w:val="Normal"/>
        <w:ind w:start="5040" w:end="0"/>
        <w:jc w:val="both"/>
        <w:rPr/>
      </w:pPr>
      <w:r>
        <w:rPr/>
        <w:t xml:space="preserve">email:  </w:t>
      </w:r>
      <w:hyperlink r:id="rId4">
        <w:r>
          <w:rPr>
            <w:rStyle w:val="Hyperlink"/>
          </w:rPr>
          <w:t>david.taylor@constellation.com</w:t>
        </w:r>
      </w:hyperlink>
    </w:p>
    <w:p>
      <w:pPr>
        <w:pStyle w:val="Normal"/>
        <w:jc w:val="center"/>
        <w:rPr/>
      </w:pPr>
      <w:r>
        <w:rPr/>
      </w:r>
    </w:p>
    <w:p>
      <w:pPr>
        <w:pStyle w:val="Normal"/>
        <w:ind w:firstLine="720" w:start="4320" w:end="0"/>
        <w:rPr/>
      </w:pPr>
      <w:r>
        <w:rPr/>
      </w:r>
    </w:p>
    <w:p>
      <w:pPr>
        <w:pStyle w:val="Normal"/>
        <w:ind w:firstLine="720" w:start="4320" w:end="0"/>
        <w:rPr/>
      </w:pPr>
      <w:r>
        <w:rPr/>
        <w:t>EDISON MISSION ENERGY</w:t>
      </w:r>
    </w:p>
    <w:p>
      <w:pPr>
        <w:pStyle w:val="Normal"/>
        <w:ind w:firstLine="720" w:start="4320" w:end="0"/>
        <w:rPr/>
      </w:pPr>
      <w:r>
        <w:rPr/>
      </w:r>
    </w:p>
    <w:p>
      <w:pPr>
        <w:pStyle w:val="Normal"/>
        <w:ind w:firstLine="720" w:start="4320" w:end="0"/>
        <w:rPr/>
      </w:pPr>
      <w:r>
        <w:rPr/>
        <w:tab/>
        <w:tab/>
        <w:tab/>
        <w:tab/>
        <w:tab/>
        <w:tab/>
        <w:tab/>
      </w:r>
    </w:p>
    <w:p>
      <w:pPr>
        <w:pStyle w:val="Normal"/>
        <w:ind w:firstLine="720" w:start="4320" w:end="0"/>
        <w:rPr>
          <w:color w:val="000000"/>
          <w:u w:val="single"/>
        </w:rPr>
      </w:pPr>
      <w:r>
        <w:rPr>
          <w:color w:val="000000"/>
          <w:u w:val="single"/>
        </w:rPr>
        <w:t>_________________________________</w:t>
      </w:r>
    </w:p>
    <w:p>
      <w:pPr>
        <w:pStyle w:val="Normal"/>
        <w:jc w:val="both"/>
        <w:rPr>
          <w:color w:val="000000"/>
          <w:u w:val="single"/>
        </w:rPr>
      </w:pPr>
      <w:r>
        <w:rPr>
          <w:color w:val="000000"/>
          <w:u w:val="single"/>
        </w:rPr>
      </w:r>
    </w:p>
    <w:p>
      <w:pPr>
        <w:pStyle w:val="Normal"/>
        <w:jc w:val="both"/>
        <w:rPr/>
      </w:pPr>
      <w:r>
        <w:rPr/>
        <w:tab/>
        <w:tab/>
        <w:tab/>
        <w:tab/>
        <w:tab/>
        <w:tab/>
        <w:tab/>
        <w:t>John P. Mathis</w:t>
      </w:r>
    </w:p>
    <w:p>
      <w:pPr>
        <w:pStyle w:val="Normal"/>
        <w:jc w:val="both"/>
        <w:rPr/>
      </w:pPr>
      <w:r>
        <w:rPr/>
        <w:tab/>
        <w:tab/>
        <w:tab/>
        <w:tab/>
        <w:tab/>
        <w:tab/>
        <w:tab/>
        <w:t>Vice President &amp; Associate General Counsel</w:t>
      </w:r>
    </w:p>
    <w:p>
      <w:pPr>
        <w:pStyle w:val="Normal"/>
        <w:jc w:val="both"/>
        <w:rPr/>
      </w:pPr>
      <w:r>
        <w:rPr/>
        <w:tab/>
        <w:tab/>
        <w:tab/>
        <w:tab/>
        <w:tab/>
        <w:tab/>
        <w:tab/>
        <w:t xml:space="preserve">Edison Mission Energy </w:t>
      </w:r>
    </w:p>
    <w:p>
      <w:pPr>
        <w:pStyle w:val="Normal"/>
        <w:jc w:val="both"/>
        <w:rPr/>
      </w:pPr>
      <w:r>
        <w:rPr/>
        <w:tab/>
        <w:tab/>
        <w:tab/>
        <w:tab/>
        <w:tab/>
        <w:tab/>
        <w:tab/>
        <w:t>555 12</w:t>
      </w:r>
      <w:r>
        <w:rPr>
          <w:vertAlign w:val="superscript"/>
        </w:rPr>
        <w:t>th</w:t>
      </w:r>
      <w:r>
        <w:rPr/>
        <w:t xml:space="preserve"> Street, NW, Suite 640</w:t>
      </w:r>
    </w:p>
    <w:p>
      <w:pPr>
        <w:pStyle w:val="Normal"/>
        <w:jc w:val="both"/>
        <w:rPr/>
      </w:pPr>
      <w:r>
        <w:rPr/>
        <w:tab/>
        <w:tab/>
        <w:tab/>
        <w:tab/>
        <w:tab/>
        <w:tab/>
        <w:tab/>
        <w:t>Washington, DC 20004</w:t>
      </w:r>
    </w:p>
    <w:p>
      <w:pPr>
        <w:pStyle w:val="Normal"/>
        <w:jc w:val="both"/>
        <w:rPr/>
      </w:pPr>
      <w:r>
        <w:rPr/>
        <w:tab/>
        <w:tab/>
        <w:tab/>
        <w:tab/>
        <w:tab/>
        <w:tab/>
        <w:tab/>
        <w:t>(202) 585-1199</w:t>
      </w:r>
      <w:r>
        <w:br w:type="page"/>
      </w:r>
    </w:p>
    <w:p>
      <w:pPr>
        <w:pStyle w:val="Normal"/>
        <w:jc w:val="center"/>
        <w:rPr/>
      </w:pPr>
      <w:r>
        <w:rPr/>
        <w:t>CERTIFICATE OF SERVICE</w:t>
      </w:r>
    </w:p>
    <w:p>
      <w:pPr>
        <w:pStyle w:val="Normal"/>
        <w:jc w:val="center"/>
        <w:rPr>
          <w:b/>
          <w:u w:val="single"/>
        </w:rPr>
      </w:pPr>
      <w:r>
        <w:rPr>
          <w:b/>
          <w:u w:val="single"/>
        </w:rPr>
      </w:r>
    </w:p>
    <w:p>
      <w:pPr>
        <w:pStyle w:val="BodyText"/>
        <w:spacing w:lineRule="auto" w:line="480"/>
        <w:ind w:firstLine="720" w:end="0"/>
        <w:rPr/>
      </w:pPr>
      <w:r>
        <w:rPr/>
        <w:t>I hereby certify that I have this day served the foregoing document upon each person designated on the official service list compiled by the Secretary in this proceeding.</w:t>
      </w:r>
    </w:p>
    <w:p>
      <w:pPr>
        <w:pStyle w:val="Normal"/>
        <w:spacing w:lineRule="auto" w:line="480"/>
        <w:jc w:val="both"/>
        <w:rPr/>
      </w:pPr>
      <w:r>
        <w:rPr/>
      </w:r>
    </w:p>
    <w:p>
      <w:pPr>
        <w:pStyle w:val="Normal"/>
        <w:spacing w:lineRule="auto" w:line="480"/>
        <w:ind w:firstLine="720" w:end="0"/>
        <w:jc w:val="both"/>
        <w:rPr/>
      </w:pPr>
      <w:r>
        <w:rPr/>
        <w:t>Dated at Washington, D.C., this 27</w:t>
      </w:r>
      <w:r>
        <w:rPr>
          <w:vertAlign w:val="superscript"/>
        </w:rPr>
        <w:t>th</w:t>
      </w:r>
      <w:r>
        <w:rPr/>
        <w:t xml:space="preserve"> day of November, 2001.</w:t>
      </w:r>
    </w:p>
    <w:p>
      <w:pPr>
        <w:pStyle w:val="Normal"/>
        <w:spacing w:lineRule="auto" w:line="480"/>
        <w:jc w:val="both"/>
        <w:rPr/>
      </w:pPr>
      <w:r>
        <w:rPr/>
      </w:r>
    </w:p>
    <w:p>
      <w:pPr>
        <w:pStyle w:val="Normal"/>
        <w:jc w:val="both"/>
        <w:rPr/>
      </w:pPr>
      <w:r>
        <w:rPr/>
      </w:r>
    </w:p>
    <w:p>
      <w:pPr>
        <w:pStyle w:val="Normal"/>
        <w:jc w:val="both"/>
        <w:rPr/>
      </w:pPr>
      <w:r>
        <w:rPr/>
        <w:tab/>
        <w:tab/>
        <w:tab/>
        <w:tab/>
        <w:tab/>
        <w:tab/>
        <w:tab/>
        <w:t>____________________</w:t>
      </w:r>
    </w:p>
    <w:p>
      <w:pPr>
        <w:pStyle w:val="Normal"/>
        <w:ind w:start="5040" w:end="0"/>
        <w:jc w:val="both"/>
        <w:rPr/>
      </w:pPr>
      <w:r>
        <w:rPr/>
        <w:t>Mitch F. Hertz, Esq.</w:t>
      </w:r>
    </w:p>
    <w:sectPr>
      <w:headerReference w:type="default" r:id="rId5"/>
      <w:headerReference w:type="first" r:id="rId6"/>
      <w:footerReference w:type="default" r:id="rId7"/>
      <w:footerReference w:type="first" r:id="rId8"/>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378"/>
      <w:gridCol w:w="820"/>
      <w:gridCol w:w="4378"/>
    </w:tblGrid>
    <w:tr>
      <w:trPr/>
      <w:tc>
        <w:tcPr>
          <w:tcW w:w="4378" w:type="dxa"/>
          <w:tcBorders/>
        </w:tcPr>
        <w:p>
          <w:pPr>
            <w:pStyle w:val="Footer"/>
            <w:snapToGrid w:val="false"/>
            <w:rPr/>
          </w:pPr>
          <w:r>
            <w:rPr/>
          </w:r>
        </w:p>
      </w:tc>
      <w:tc>
        <w:tcPr>
          <w:tcW w:w="82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c>
      <w:tc>
        <w:tcPr>
          <w:tcW w:w="4378" w:type="dxa"/>
          <w:tcBorders/>
        </w:tcPr>
        <w:p>
          <w:pPr>
            <w:pStyle w:val="Footer"/>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378"/>
      <w:gridCol w:w="820"/>
      <w:gridCol w:w="4378"/>
    </w:tblGrid>
    <w:tr>
      <w:trPr/>
      <w:tc>
        <w:tcPr>
          <w:tcW w:w="4378" w:type="dxa"/>
          <w:tcBorders/>
        </w:tcPr>
        <w:p>
          <w:pPr>
            <w:pStyle w:val="Footer"/>
            <w:snapToGrid w:val="false"/>
            <w:rPr/>
          </w:pPr>
          <w:r>
            <w:rPr/>
          </w:r>
        </w:p>
      </w:tc>
      <w:tc>
        <w:tcPr>
          <w:tcW w:w="820" w:type="dxa"/>
          <w:tcBorders/>
        </w:tcPr>
        <w:p>
          <w:pPr>
            <w:pStyle w:val="Footer"/>
            <w:snapToGrid w:val="false"/>
            <w:jc w:val="center"/>
            <w:rPr/>
          </w:pPr>
          <w:r>
            <w:rPr/>
          </w:r>
        </w:p>
      </w:tc>
      <w:tc>
        <w:tcPr>
          <w:tcW w:w="4378" w:type="dxa"/>
          <w:tcBorders/>
        </w:tcPr>
        <w:p>
          <w:pPr>
            <w:pStyle w:val="Footer"/>
            <w:snapToGrid w:val="false"/>
            <w:jc w:val="end"/>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rPr/>
      </w:pPr>
      <w:r>
        <w:rPr>
          <w:rStyle w:val="FootnoteCharacters"/>
        </w:rPr>
        <w:footnoteRef/>
      </w:r>
      <w:r>
        <w:rPr/>
        <w:t xml:space="preserve">  </w:t>
      </w:r>
      <w:r>
        <w:rPr>
          <w:i/>
        </w:rPr>
        <w:t>See generally</w:t>
      </w:r>
      <w:r>
        <w:rPr/>
        <w:t xml:space="preserve"> </w:t>
      </w:r>
      <w:r>
        <w:rPr>
          <w:i/>
        </w:rPr>
        <w:t>Regional Transmission Organizations,</w:t>
      </w:r>
      <w:r>
        <w:rPr/>
        <w:t xml:space="preserve"> Order No. 2000, FERC Stats. and Regs. ¶ 31,089 (1999), (“Order 2000”), </w:t>
      </w:r>
      <w:r>
        <w:rPr>
          <w:i/>
        </w:rPr>
        <w:t>order on reh’g,</w:t>
      </w:r>
      <w:r>
        <w:rPr/>
        <w:t xml:space="preserve"> Order No. 2000-A, FERC Stats. and Regs. ¶ 31,092 (2000) (“Order 2000-A”), </w:t>
      </w:r>
      <w:r>
        <w:rPr>
          <w:i/>
        </w:rPr>
        <w:t xml:space="preserve">petition for review pending sub nom., Public Util. Dist. No. 1 of Snohomish County v FERC, </w:t>
      </w:r>
      <w:r>
        <w:rPr/>
        <w:t>Case Nos. 00-1174</w:t>
      </w:r>
      <w:r>
        <w:rPr>
          <w:i/>
        </w:rPr>
        <w:t>, et al.</w:t>
      </w:r>
      <w:r>
        <w:rPr/>
        <w:t xml:space="preserve"> (D.C. Cir. Apr. 24, 2000).</w:t>
      </w:r>
    </w:p>
    <w:p>
      <w:pPr>
        <w:pStyle w:val="FootnoteText"/>
        <w:keepLines/>
        <w:spacing w:before="0" w:after="200"/>
        <w:rPr/>
      </w:pPr>
      <w:r>
        <w:rPr/>
      </w:r>
    </w:p>
  </w:footnote>
  <w:footnote w:id="3">
    <w:p>
      <w:pPr>
        <w:pStyle w:val="FootnoteText"/>
        <w:spacing w:before="0" w:after="200"/>
        <w:ind w:hanging="360" w:start="360" w:end="0"/>
        <w:rPr/>
      </w:pPr>
      <w:r>
        <w:rPr>
          <w:rStyle w:val="FootnoteCharacters"/>
        </w:rPr>
        <w:footnoteRef/>
      </w:r>
      <w:r>
        <w:rPr/>
        <w:t xml:space="preserve">   </w:t>
      </w:r>
      <w:r>
        <w:rPr/>
        <w:t>Alliance Cos., Order No. 2000 Supplemental Compliance Filing, Docket No. RT01-88-001 (May 15, 2001) (“Supplemental Compliance Filing”).</w:t>
      </w:r>
    </w:p>
  </w:footnote>
  <w:footnote w:id="4">
    <w:p>
      <w:pPr>
        <w:pStyle w:val="FootnoteText"/>
        <w:spacing w:before="0" w:after="200"/>
        <w:ind w:hanging="360" w:start="360" w:end="0"/>
        <w:rPr/>
      </w:pPr>
      <w:r>
        <w:rPr>
          <w:rStyle w:val="FootnoteCharacters"/>
        </w:rPr>
        <w:footnoteRef/>
      </w:r>
      <w:r>
        <w:rPr/>
        <w:t xml:space="preserve">  </w:t>
      </w:r>
      <w:r>
        <w:rPr>
          <w:rStyle w:val="FootnoteCharacters"/>
        </w:rPr>
        <w:t>?</w:t>
      </w:r>
      <w:r>
        <w:rPr/>
        <w:t xml:space="preserve">  </w:t>
      </w:r>
      <w:r>
        <w:rPr>
          <w:i/>
        </w:rPr>
        <w:t>See</w:t>
      </w:r>
      <w:r>
        <w:rPr/>
        <w:t xml:space="preserve"> </w:t>
      </w:r>
      <w:r>
        <w:rPr>
          <w:i/>
        </w:rPr>
        <w:t>National Grid USA</w:t>
      </w:r>
      <w:r>
        <w:rPr/>
        <w:t xml:space="preserve">, 96 FERC ¶ 61,121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u w:val="none"/>
      </w:rPr>
    </w:lvl>
    <w:lvl w:ilvl="1">
      <w:start w:val="1"/>
      <w:pStyle w:val="Heading2"/>
      <w:numFmt w:val="lowerLetter"/>
      <w:lvlText w:val="(%2)"/>
      <w:lvlJc w:val="start"/>
      <w:pPr>
        <w:tabs>
          <w:tab w:val="num" w:pos="1440"/>
        </w:tabs>
        <w:ind w:start="1440" w:hanging="720"/>
      </w:pPr>
      <w:rPr>
        <w:u w:val="none"/>
      </w:rPr>
    </w:lvl>
    <w:lvl w:ilvl="2">
      <w:start w:val="1"/>
      <w:pStyle w:val="Heading3"/>
      <w:numFmt w:val="lowerRoman"/>
      <w:lvlText w:val="(%3)"/>
      <w:lvlJc w:val="start"/>
      <w:pPr>
        <w:tabs>
          <w:tab w:val="num" w:pos="2160"/>
        </w:tabs>
        <w:ind w:start="2160" w:hanging="720"/>
      </w:pPr>
      <w:rPr>
        <w:u w:val="none"/>
      </w:rPr>
    </w:lvl>
    <w:lvl w:ilvl="3">
      <w:start w:val="1"/>
      <w:pStyle w:val="Heading4"/>
      <w:numFmt w:val="upperLetter"/>
      <w:lvlText w:val="(%4)"/>
      <w:lvlJc w:val="start"/>
      <w:pPr>
        <w:tabs>
          <w:tab w:val="num" w:pos="2880"/>
        </w:tabs>
        <w:ind w:start="2880" w:hanging="720"/>
      </w:pPr>
      <w:rPr>
        <w:u w:val="none"/>
      </w:rPr>
    </w:lvl>
    <w:lvl w:ilvl="4">
      <w:start w:val="1"/>
      <w:pStyle w:val="Heading5"/>
      <w:numFmt w:val="decimal"/>
      <w:lvlText w:val="(%5)"/>
      <w:lvlJc w:val="start"/>
      <w:pPr>
        <w:tabs>
          <w:tab w:val="num" w:pos="3600"/>
        </w:tabs>
        <w:ind w:start="3600" w:hanging="720"/>
      </w:pPr>
      <w:rPr>
        <w:u w:val="none"/>
      </w:rPr>
    </w:lvl>
    <w:lvl w:ilvl="5">
      <w:start w:val="1"/>
      <w:pStyle w:val="Heading6"/>
      <w:numFmt w:val="lowerLetter"/>
      <w:lvlText w:val="(%6)"/>
      <w:lvlJc w:val="start"/>
      <w:pPr>
        <w:tabs>
          <w:tab w:val="num" w:pos="4320"/>
        </w:tabs>
        <w:ind w:start="4320" w:hanging="720"/>
      </w:pPr>
      <w:rPr>
        <w:u w:val="none"/>
      </w:rPr>
    </w:lvl>
    <w:lvl w:ilvl="6">
      <w:start w:val="1"/>
      <w:pStyle w:val="Heading7"/>
      <w:numFmt w:val="upperRoman"/>
      <w:lvlText w:val="%7."/>
      <w:lvlJc w:val="start"/>
      <w:pPr>
        <w:tabs>
          <w:tab w:val="num" w:pos="1440"/>
        </w:tabs>
        <w:ind w:start="1440" w:hanging="720"/>
      </w:pPr>
      <w:rPr>
        <w:u w:val="none"/>
      </w:rPr>
    </w:lvl>
    <w:lvl w:ilvl="7">
      <w:start w:val="1"/>
      <w:pStyle w:val="Heading8"/>
      <w:numFmt w:val="upperLetter"/>
      <w:lvlText w:val="%8."/>
      <w:lvlJc w:val="start"/>
      <w:pPr>
        <w:tabs>
          <w:tab w:val="num" w:pos="2160"/>
        </w:tabs>
        <w:ind w:start="2160" w:hanging="720"/>
      </w:pPr>
      <w:rPr>
        <w:u w:val="none"/>
      </w:rPr>
    </w:lvl>
    <w:lvl w:ilvl="8">
      <w:start w:val="1"/>
      <w:pStyle w:val="Heading9"/>
      <w:numFmt w:val="decimal"/>
      <w:lvlText w:val="%9."/>
      <w:lvlJc w:val="start"/>
      <w:pPr>
        <w:tabs>
          <w:tab w:val="num" w:pos="2880"/>
        </w:tabs>
        <w:ind w:start="2880" w:hanging="720"/>
      </w:pPr>
      <w:rPr>
        <w:u w:val="none"/>
      </w:rPr>
    </w:lvl>
  </w:abstractNum>
  <w:abstractNum w:abstractNumId="2">
    <w:lvl w:ilvl="0">
      <w:start w:val="1"/>
      <w:numFmt w:val="lowerRoman"/>
      <w:lvlText w:val="(%1)"/>
      <w:lvlJc w:val="start"/>
      <w:pPr>
        <w:tabs>
          <w:tab w:val="num" w:pos="1440"/>
        </w:tabs>
        <w:ind w:start="1440" w:hanging="72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800"/>
        </w:tabs>
        <w:ind w:start="180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440"/>
        </w:tabs>
        <w:ind w:start="1440" w:hanging="360"/>
      </w:pPr>
      <w:rPr>
        <w:rFonts w:ascii="Times New Roman" w:hAnsi="Times New Roman" w:cs="Times New Roman" w:hint="default"/>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bullet"/>
      <w:lvlText w:val=""/>
      <w:lvlJc w:val="start"/>
      <w:pPr>
        <w:tabs>
          <w:tab w:val="num" w:pos="3240"/>
        </w:tabs>
        <w:ind w:start="3240" w:hanging="360"/>
      </w:pPr>
      <w:rPr>
        <w:rFonts w:ascii="Wingdings" w:hAnsi="Wingdings" w:cs="Wingdings" w:hint="default"/>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134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2"/>
    <w:qFormat/>
    <w:pPr>
      <w:numPr>
        <w:ilvl w:val="0"/>
        <w:numId w:val="1"/>
      </w:numPr>
      <w:spacing w:before="0" w:after="240"/>
      <w:outlineLvl w:val="0"/>
    </w:pPr>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2"/>
    <w:qFormat/>
    <w:pPr>
      <w:numPr>
        <w:ilvl w:val="6"/>
        <w:numId w:val="1"/>
      </w:numPr>
      <w:tabs>
        <w:tab w:val="left" w:pos="720" w:leader="none"/>
      </w:tabs>
      <w:spacing w:before="0" w:after="240"/>
      <w:ind w:hanging="0" w:start="720" w:end="0"/>
      <w:outlineLvl w:val="6"/>
    </w:pPr>
    <w:rPr/>
  </w:style>
  <w:style w:type="paragraph" w:styleId="Heading8">
    <w:name w:val="heading 8"/>
    <w:basedOn w:val="Normal"/>
    <w:next w:val="BodyText"/>
    <w:qFormat/>
    <w:pPr>
      <w:numPr>
        <w:ilvl w:val="7"/>
        <w:numId w:val="1"/>
      </w:numPr>
      <w:tabs>
        <w:tab w:val="clear" w:pos="720"/>
        <w:tab w:val="left" w:pos="1440" w:leader="none"/>
      </w:tabs>
      <w:spacing w:before="0" w:after="240"/>
      <w:ind w:hanging="0" w:start="1440" w:end="0"/>
      <w:outlineLvl w:val="7"/>
    </w:pPr>
    <w:rPr/>
  </w:style>
  <w:style w:type="paragraph" w:styleId="Heading9">
    <w:name w:val="heading 9"/>
    <w:basedOn w:val="Normal"/>
    <w:next w:val="BodyText"/>
    <w:qFormat/>
    <w:pPr>
      <w:numPr>
        <w:ilvl w:val="8"/>
        <w:numId w:val="1"/>
      </w:numPr>
      <w:tabs>
        <w:tab w:val="clear" w:pos="720"/>
        <w:tab w:val="left" w:pos="2160" w:leader="none"/>
      </w:tabs>
      <w:spacing w:before="0" w:after="240"/>
      <w:ind w:hanging="0" w:start="216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Times New Roman" w:hAnsi="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u w:val="none"/>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FF0000"/>
      <w:sz w:val="16"/>
    </w:rPr>
  </w:style>
  <w:style w:type="character" w:styleId="FootnoteCharacters">
    <w:name w:val="Footnote Characters"/>
    <w:basedOn w:val="DefaultParagraphFont"/>
    <w:qFormat/>
    <w:rPr>
      <w:position w:val="0"/>
      <w:sz w:val="16"/>
      <w:sz w:val="16"/>
      <w:vertAlign w:val="baseline"/>
    </w:rPr>
  </w:style>
  <w:style w:type="character" w:styleId="EndnoteCharacters">
    <w:name w:val="Endnote Characters"/>
    <w:basedOn w:val="DefaultParagraphFont"/>
    <w:qFormat/>
    <w:rPr>
      <w:position w:val="0"/>
      <w:sz w:val="16"/>
      <w:sz w:val="16"/>
      <w:vertAlign w:val="baseline"/>
    </w:rPr>
  </w:style>
  <w:style w:type="character" w:styleId="Hyperlink">
    <w:name w:val="Hyperlink"/>
    <w:basedOn w:val="DefaultParagraphFont"/>
    <w:rPr>
      <w:color w:val="0000FF"/>
      <w:u w:val="none"/>
    </w:rPr>
  </w:style>
  <w:style w:type="character" w:styleId="PageNumber">
    <w:name w:val="page number"/>
    <w:basedOn w:val="DefaultParagraphFont"/>
    <w:rPr/>
  </w:style>
  <w:style w:type="character" w:styleId="FollowedHyperlink">
    <w:name w:val="FollowedHyperlink"/>
    <w:basedOn w:val="DefaultParagraphFont"/>
    <w:rPr>
      <w:color w:val="800080"/>
      <w:u w:val="non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Subtitle"/>
    <w:qFormat/>
    <w:pPr>
      <w:keepNext w:val="true"/>
      <w:spacing w:before="0" w:after="240"/>
      <w:jc w:val="center"/>
    </w:pPr>
    <w:rPr>
      <w:b/>
      <w:u w:val="single"/>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3">
    <w:name w:val="List Bullet 3"/>
    <w:basedOn w:val="Normal"/>
    <w:qFormat/>
    <w:pPr>
      <w:numPr>
        <w:ilvl w:val="0"/>
        <w:numId w:val="4"/>
      </w:numPr>
      <w:tabs>
        <w:tab w:val="clear" w:pos="720"/>
        <w:tab w:val="left" w:pos="1080" w:leader="none"/>
      </w:tabs>
      <w:spacing w:before="0" w:after="240"/>
    </w:pPr>
    <w:rPr/>
  </w:style>
  <w:style w:type="paragraph" w:styleId="BodyText2">
    <w:name w:val="Body Text 2"/>
    <w:basedOn w:val="Normal"/>
    <w:qFormat/>
    <w:pPr>
      <w:spacing w:before="0" w:after="240"/>
      <w:ind w:firstLine="720" w:start="0" w:end="0"/>
    </w:pPr>
    <w:rPr/>
  </w:style>
  <w:style w:type="paragraph" w:styleId="BodyText3">
    <w:name w:val="Body Text 3"/>
    <w:basedOn w:val="Normal"/>
    <w:qFormat/>
    <w:pPr>
      <w:spacing w:before="0" w:after="240"/>
      <w:ind w:firstLine="1440" w:start="0" w:end="0"/>
    </w:pPr>
    <w:rPr/>
  </w:style>
  <w:style w:type="paragraph" w:styleId="BlockText">
    <w:name w:val="Block Text"/>
    <w:basedOn w:val="Normal"/>
    <w:qFormat/>
    <w:pPr>
      <w:spacing w:before="0" w:after="240"/>
      <w:ind w:hanging="0" w:start="720" w:end="720"/>
    </w:pPr>
    <w:rPr/>
  </w:style>
  <w:style w:type="paragraph" w:styleId="CommentText">
    <w:name w:val="Comment Text"/>
    <w:basedOn w:val="Normal"/>
    <w:qFormat/>
    <w:pPr/>
    <w:rPr/>
  </w:style>
  <w:style w:type="paragraph" w:styleId="EndnoteText">
    <w:name w:val="endnote text"/>
    <w:basedOn w:val="Normal"/>
    <w:pPr>
      <w:spacing w:before="0" w:after="200"/>
      <w:ind w:hanging="360" w:start="36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00"/>
      <w:ind w:hanging="360" w:start="360" w:end="0"/>
    </w:pPr>
    <w:rPr>
      <w:sz w:val="20"/>
    </w:rPr>
  </w:style>
  <w:style w:type="paragraph" w:styleId="Header">
    <w:name w:val="header"/>
    <w:basedOn w:val="Normal"/>
    <w:pPr>
      <w:tabs>
        <w:tab w:val="clear" w:pos="720"/>
        <w:tab w:val="center" w:pos="4680" w:leader="none"/>
        <w:tab w:val="right" w:pos="9360" w:leader="none"/>
      </w:tabs>
    </w:pPr>
    <w:rPr/>
  </w:style>
  <w:style w:type="paragraph" w:styleId="TOCAll">
    <w:name w:val="TOC All"/>
    <w:basedOn w:val="Normal"/>
    <w:next w:val="Normal"/>
    <w:qFormat/>
    <w:pPr/>
    <w:rPr/>
  </w:style>
  <w:style w:type="paragraph" w:styleId="TOC2">
    <w:name w:val="toc 2"/>
    <w:basedOn w:val="TOCAll"/>
    <w:next w:val="Normal"/>
    <w:pPr>
      <w:tabs>
        <w:tab w:val="clear" w:pos="720"/>
        <w:tab w:val="decimal" w:pos="9360" w:leader="dot"/>
      </w:tabs>
      <w:ind w:hanging="720" w:start="1440" w:end="720"/>
    </w:pPr>
    <w:rPr/>
  </w:style>
  <w:style w:type="paragraph" w:styleId="TOC1">
    <w:name w:val="toc 1"/>
    <w:basedOn w:val="TOCAll"/>
    <w:next w:val="Normal"/>
    <w:pPr>
      <w:tabs>
        <w:tab w:val="clear" w:pos="720"/>
        <w:tab w:val="decimal" w:pos="9360" w:leader="dot"/>
      </w:tabs>
      <w:spacing w:before="240" w:after="0"/>
      <w:ind w:hanging="720" w:start="720" w:end="720"/>
    </w:pPr>
    <w:rPr>
      <w:b/>
    </w:rPr>
  </w:style>
  <w:style w:type="paragraph" w:styleId="TOC3">
    <w:name w:val="toc 3"/>
    <w:basedOn w:val="TOCAll"/>
    <w:next w:val="Normal"/>
    <w:pPr>
      <w:tabs>
        <w:tab w:val="clear" w:pos="720"/>
        <w:tab w:val="decimal" w:pos="9360" w:leader="dot"/>
      </w:tabs>
      <w:ind w:hanging="720" w:start="2160" w:end="720"/>
    </w:pPr>
    <w:rPr/>
  </w:style>
  <w:style w:type="paragraph" w:styleId="TOC4">
    <w:name w:val="toc 4"/>
    <w:basedOn w:val="TOCAll"/>
    <w:next w:val="Normal"/>
    <w:pPr>
      <w:tabs>
        <w:tab w:val="clear" w:pos="720"/>
        <w:tab w:val="decimal" w:pos="9360" w:leader="dot"/>
      </w:tabs>
      <w:ind w:hanging="720" w:start="2880" w:end="720"/>
    </w:pPr>
    <w:rPr/>
  </w:style>
  <w:style w:type="paragraph" w:styleId="TOC5">
    <w:name w:val="toc 5"/>
    <w:basedOn w:val="TOCAll"/>
    <w:next w:val="Normal"/>
    <w:pPr>
      <w:tabs>
        <w:tab w:val="clear" w:pos="720"/>
        <w:tab w:val="decimal" w:pos="9360" w:leader="dot"/>
      </w:tabs>
      <w:ind w:hanging="720" w:start="3600" w:end="720"/>
    </w:pPr>
    <w:rPr/>
  </w:style>
  <w:style w:type="paragraph" w:styleId="ListBullet">
    <w:name w:val="List Bullet"/>
    <w:basedOn w:val="Normal"/>
    <w:qFormat/>
    <w:pPr>
      <w:numPr>
        <w:ilvl w:val="0"/>
        <w:numId w:val="5"/>
      </w:numPr>
      <w:spacing w:before="0" w:after="240"/>
    </w:pPr>
    <w:rPr/>
  </w:style>
  <w:style w:type="paragraph" w:styleId="ListNumber">
    <w:name w:val="List Number"/>
    <w:basedOn w:val="Normal"/>
    <w:qFormat/>
    <w:pPr>
      <w:numPr>
        <w:ilvl w:val="0"/>
        <w:numId w:val="9"/>
      </w:numPr>
      <w:spacing w:before="0" w:after="240"/>
    </w:pPr>
    <w:rPr/>
  </w:style>
  <w:style w:type="paragraph" w:styleId="TOC9">
    <w:name w:val="toc 9"/>
    <w:basedOn w:val="TOCAll"/>
    <w:next w:val="Normal"/>
    <w:pPr>
      <w:tabs>
        <w:tab w:val="clear" w:pos="720"/>
        <w:tab w:val="decimal" w:pos="9360" w:leader="dot"/>
      </w:tabs>
      <w:ind w:hanging="720" w:start="6480" w:end="720"/>
    </w:pPr>
    <w:rPr/>
  </w:style>
  <w:style w:type="paragraph" w:styleId="TOC8">
    <w:name w:val="toc 8"/>
    <w:basedOn w:val="TOCAll"/>
    <w:next w:val="Normal"/>
    <w:pPr>
      <w:tabs>
        <w:tab w:val="clear" w:pos="720"/>
        <w:tab w:val="decimal" w:pos="9360" w:leader="dot"/>
      </w:tabs>
      <w:ind w:hanging="720" w:start="5760" w:end="720"/>
    </w:pPr>
    <w:rPr/>
  </w:style>
  <w:style w:type="paragraph" w:styleId="TOC7">
    <w:name w:val="toc 7"/>
    <w:basedOn w:val="TOCAll"/>
    <w:next w:val="Normal"/>
    <w:pPr>
      <w:tabs>
        <w:tab w:val="clear" w:pos="720"/>
        <w:tab w:val="decimal" w:pos="9360" w:leader="dot"/>
      </w:tabs>
      <w:ind w:hanging="720" w:start="5040" w:end="720"/>
    </w:pPr>
    <w:rPr/>
  </w:style>
  <w:style w:type="paragraph" w:styleId="TOC6">
    <w:name w:val="toc 6"/>
    <w:basedOn w:val="TOCAll"/>
    <w:next w:val="Normal"/>
    <w:pPr>
      <w:tabs>
        <w:tab w:val="clear" w:pos="720"/>
        <w:tab w:val="decimal" w:pos="9360" w:leader="dot"/>
      </w:tabs>
      <w:ind w:hanging="720" w:start="4320" w:end="720"/>
    </w:pPr>
    <w:rPr/>
  </w:style>
  <w:style w:type="paragraph" w:styleId="ListNumber2">
    <w:name w:val="List Number 2"/>
    <w:basedOn w:val="Normal"/>
    <w:qFormat/>
    <w:pPr>
      <w:numPr>
        <w:ilvl w:val="0"/>
        <w:numId w:val="2"/>
      </w:numPr>
      <w:spacing w:before="0" w:after="240"/>
    </w:pPr>
    <w:rPr/>
  </w:style>
  <w:style w:type="paragraph" w:styleId="ListBullet2">
    <w:name w:val="List Bullet 2"/>
    <w:basedOn w:val="Normal"/>
    <w:qFormat/>
    <w:pPr>
      <w:numPr>
        <w:ilvl w:val="0"/>
        <w:numId w:val="8"/>
      </w:numPr>
      <w:spacing w:before="0" w:after="240"/>
    </w:pPr>
    <w:rPr/>
  </w:style>
  <w:style w:type="paragraph" w:styleId="Subtitle">
    <w:name w:val="Subtitle"/>
    <w:basedOn w:val="Normal"/>
    <w:next w:val="BodyText2"/>
    <w:qFormat/>
    <w:pPr>
      <w:keepNext w:val="true"/>
      <w:spacing w:before="0" w:after="240"/>
      <w:jc w:val="center"/>
    </w:pPr>
    <w:rPr>
      <w:b/>
    </w:rPr>
  </w:style>
  <w:style w:type="paragraph" w:styleId="Closing">
    <w:name w:val="Closing"/>
    <w:basedOn w:val="Normal"/>
    <w:qFormat/>
    <w:pPr>
      <w:ind w:hanging="0" w:start="5040" w:end="0"/>
    </w:pPr>
    <w:rPr/>
  </w:style>
  <w:style w:type="paragraph" w:styleId="BodyTextIndent">
    <w:name w:val="Body Text Indent"/>
    <w:basedOn w:val="Normal"/>
    <w:pPr>
      <w:spacing w:before="0" w:after="240"/>
      <w:ind w:hanging="0" w:start="720" w:end="0"/>
    </w:pPr>
    <w:rPr/>
  </w:style>
  <w:style w:type="paragraph" w:styleId="Index1">
    <w:name w:val="index 1"/>
    <w:basedOn w:val="Normal"/>
    <w:pPr/>
    <w:rPr/>
  </w:style>
  <w:style w:type="paragraph" w:styleId="Index2">
    <w:name w:val="index 2"/>
    <w:basedOn w:val="Index1"/>
    <w:pPr>
      <w:ind w:hanging="0" w:start="360" w:end="0"/>
    </w:pPr>
    <w:rPr/>
  </w:style>
  <w:style w:type="paragraph" w:styleId="Index3">
    <w:name w:val="index 3"/>
    <w:basedOn w:val="Index2"/>
    <w:pPr>
      <w:ind w:hanging="0" w:start="720" w:end="0"/>
    </w:pPr>
    <w:rPr/>
  </w:style>
  <w:style w:type="paragraph" w:styleId="Index4">
    <w:name w:val="Index 4"/>
    <w:basedOn w:val="Index3"/>
    <w:qFormat/>
    <w:pPr>
      <w:ind w:hanging="0" w:start="1080" w:end="0"/>
    </w:pPr>
    <w:rPr/>
  </w:style>
  <w:style w:type="paragraph" w:styleId="BlockText2">
    <w:name w:val="Block Text 2"/>
    <w:basedOn w:val="Normal"/>
    <w:qFormat/>
    <w:pPr>
      <w:spacing w:before="0" w:after="240"/>
      <w:ind w:hanging="0" w:start="1440" w:end="1440"/>
    </w:pPr>
    <w:rPr/>
  </w:style>
  <w:style w:type="paragraph" w:styleId="ListBullet4">
    <w:name w:val="List Bullet 4"/>
    <w:basedOn w:val="Normal"/>
    <w:qFormat/>
    <w:pPr>
      <w:numPr>
        <w:ilvl w:val="0"/>
        <w:numId w:val="3"/>
      </w:numPr>
      <w:spacing w:before="0" w:after="240"/>
    </w:pPr>
    <w:rPr/>
  </w:style>
  <w:style w:type="paragraph" w:styleId="ListBullet5">
    <w:name w:val="List Bullet 5"/>
    <w:basedOn w:val="Normal"/>
    <w:qFormat/>
    <w:pPr>
      <w:numPr>
        <w:ilvl w:val="0"/>
        <w:numId w:val="6"/>
      </w:numPr>
      <w:spacing w:before="0" w:after="240"/>
    </w:pPr>
    <w:rPr/>
  </w:style>
  <w:style w:type="paragraph" w:styleId="BodyTextDS2">
    <w:name w:val="Body Text DS 2"/>
    <w:basedOn w:val="Normal"/>
    <w:qFormat/>
    <w:pPr>
      <w:spacing w:lineRule="auto" w:line="480"/>
      <w:ind w:firstLine="720" w:start="0" w:end="0"/>
    </w:pPr>
    <w:rPr/>
  </w:style>
  <w:style w:type="paragraph" w:styleId="BodyTextDS3">
    <w:name w:val="Body Text DS 3"/>
    <w:basedOn w:val="Normal"/>
    <w:qFormat/>
    <w:pPr>
      <w:spacing w:lineRule="auto" w:line="480"/>
      <w:ind w:firstLine="1440" w:start="0" w:end="0"/>
    </w:pPr>
    <w:rPr/>
  </w:style>
  <w:style w:type="paragraph" w:styleId="BodyTextDS">
    <w:name w:val="Body Text DS"/>
    <w:basedOn w:val="Normal"/>
    <w:qFormat/>
    <w:pPr>
      <w:spacing w:lineRule="auto" w:line="480"/>
    </w:pPr>
    <w:rPr/>
  </w:style>
  <w:style w:type="paragraph" w:styleId="HangingIndent2">
    <w:name w:val="Hanging Indent 2"/>
    <w:basedOn w:val="Normal"/>
    <w:qFormat/>
    <w:pPr>
      <w:spacing w:before="0" w:after="240"/>
      <w:ind w:hanging="720" w:start="2160" w:end="0"/>
    </w:pPr>
    <w:rPr/>
  </w:style>
  <w:style w:type="paragraph" w:styleId="HangingIndent">
    <w:name w:val="Hanging Indent"/>
    <w:basedOn w:val="BodyText"/>
    <w:qFormat/>
    <w:pPr>
      <w:tabs>
        <w:tab w:val="clear" w:pos="720"/>
        <w:tab w:val="left" w:pos="0" w:leader="none"/>
      </w:tabs>
      <w:ind w:hanging="283" w:start="567"/>
    </w:pPr>
    <w:rPr/>
  </w:style>
  <w:style w:type="paragraph" w:styleId="WW-HangingIndent">
    <w:name w:val="WW-Hanging Indent"/>
    <w:basedOn w:val="Normal"/>
    <w:qFormat/>
    <w:pPr>
      <w:spacing w:before="0" w:after="240"/>
      <w:ind w:hanging="720" w:start="1440" w:end="0"/>
    </w:pPr>
    <w:rPr/>
  </w:style>
  <w:style w:type="paragraph" w:styleId="SubtitleLeft">
    <w:name w:val="Subtitle Left"/>
    <w:basedOn w:val="Normal"/>
    <w:next w:val="BodyText2"/>
    <w:qFormat/>
    <w:pPr>
      <w:keepNext w:val="true"/>
      <w:spacing w:before="0" w:after="240"/>
    </w:pPr>
    <w:rPr>
      <w:i/>
    </w:rPr>
  </w:style>
  <w:style w:type="paragraph" w:styleId="TableHeadings">
    <w:name w:val="Table Headings"/>
    <w:basedOn w:val="Normal"/>
    <w:qFormat/>
    <w:pPr>
      <w:pBdr>
        <w:bottom w:val="single" w:sz="4" w:space="1" w:color="000000"/>
      </w:pBdr>
      <w:jc w:val="center"/>
    </w:pPr>
    <w:rPr>
      <w:b/>
    </w:rPr>
  </w:style>
  <w:style w:type="paragraph" w:styleId="TableofAuthorities">
    <w:name w:val="Table of Authorities"/>
    <w:basedOn w:val="Normal"/>
    <w:next w:val="Normal"/>
    <w:qFormat/>
    <w:pPr>
      <w:spacing w:before="0" w:after="240"/>
      <w:ind w:hanging="720" w:start="720" w:end="0"/>
    </w:pPr>
    <w:rPr>
      <w:b/>
    </w:rPr>
  </w:style>
  <w:style w:type="paragraph" w:styleId="TableText">
    <w:name w:val="Table Text"/>
    <w:basedOn w:val="Normal"/>
    <w:qFormat/>
    <w:pPr/>
    <w:rPr/>
  </w:style>
  <w:style w:type="paragraph" w:styleId="TitleLeft">
    <w:name w:val="Title Left"/>
    <w:basedOn w:val="Normal"/>
    <w:next w:val="SubtitleLeft"/>
    <w:qFormat/>
    <w:pPr>
      <w:keepNext w:val="true"/>
      <w:spacing w:before="0" w:after="240"/>
    </w:pPr>
    <w:rPr>
      <w:b/>
    </w:rPr>
  </w:style>
  <w:style w:type="paragraph" w:styleId="TOAHeading">
    <w:name w:val="TOA Heading"/>
    <w:basedOn w:val="Normal"/>
    <w:next w:val="Normal"/>
    <w:qFormat/>
    <w:pPr>
      <w:spacing w:before="0" w:after="240"/>
    </w:pPr>
    <w:rPr>
      <w:b/>
    </w:rPr>
  </w:style>
  <w:style w:type="paragraph" w:styleId="DocID">
    <w:name w:val="DocID"/>
    <w:basedOn w:val="Normal"/>
    <w:qFormat/>
    <w:pPr/>
    <w:rPr>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bohorquez@aesmail.com" TargetMode="External"/><Relationship Id="rId3" Type="http://schemas.openxmlformats.org/officeDocument/2006/relationships/hyperlink" Target="mailto:debra.bolton@mirant.com" TargetMode="External"/><Relationship Id="rId4" Type="http://schemas.openxmlformats.org/officeDocument/2006/relationships/hyperlink" Target="mailto:david.taylor@constellation.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TLBlank Portrait.dot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2001-11-26T20:36:00Z</dcterms:created>
  <dc:creator>Washington Office</dc:creator>
  <dc:description/>
  <dc:language>en-CA</dc:language>
  <cp:lastModifiedBy>Washington Office</cp:lastModifiedBy>
  <cp:lastPrinted>2001-11-26T17:02:00Z</cp:lastPrinted>
  <dcterms:modified xsi:type="dcterms:W3CDTF">2001-11-27T13:15:00Z</dcterms:modified>
  <cp:revision>20</cp:revision>
  <dc:subject/>
  <dc:title>Blank document-portrait</dc:title>
</cp:coreProperties>
</file>