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ind w:start="5040" w:end="0"/>
        <w:jc w:val="end"/>
        <w:rPr/>
      </w:pPr>
      <w:r>
        <w:object w:dxaOrig="2806" w:dyaOrig="288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0pt;margin-top:-7.2pt;width:84.2pt;height:86.4pt;mso-wrap-distance-left:9.05pt;mso-wrap-distance-right:9.05pt;mso-position-horizontal-relative:text;mso-position-vertical-relative:text" filled="f" o:ole="">
            <v:imagedata r:id="rId3" o:title=""/>
            <w10:wrap type="tight"/>
          </v:shape>
          <o:OLEObject Type="Embed" ProgID="" ShapeID="ole_rId2" DrawAspect="Content" ObjectID="_1386482507" r:id="rId2"/>
        </w:object>
      </w:r>
      <w:r>
        <w:rPr>
          <w:rFonts w:eastAsia="Garamond" w:cs="Garamond" w:ascii="Garamond" w:hAnsi="Garamond"/>
          <w:emboss/>
          <w:color w:val="000080"/>
          <w:sz w:val="48"/>
        </w:rPr>
        <w:t xml:space="preserve">                               </w:t>
      </w:r>
      <w:r>
        <w:rPr>
          <w:rFonts w:cs="Garamond" w:ascii="Garamond" w:hAnsi="Garamond"/>
          <w:color w:val="000080"/>
          <w:sz w:val="40"/>
        </w:rPr>
        <w:t>Enron Global Markets</w:t>
      </w:r>
    </w:p>
    <w:p>
      <w:pPr>
        <w:pStyle w:val="Subtitle"/>
        <w:ind w:start="5040" w:end="0"/>
        <w:jc w:val="end"/>
        <w:rPr>
          <w:rFonts w:ascii="Garamond" w:hAnsi="Garamond" w:cs="Garamond"/>
          <w:color w:val="000080"/>
          <w:sz w:val="40"/>
        </w:rPr>
      </w:pPr>
      <w:r>
        <w:rPr>
          <w:rFonts w:eastAsia="Garamond" w:cs="Garamond" w:ascii="Garamond" w:hAnsi="Garamond"/>
          <w:color w:val="000080"/>
          <w:sz w:val="40"/>
        </w:rPr>
        <w:t xml:space="preserve"> </w:t>
      </w:r>
      <w:r>
        <w:rPr>
          <w:rFonts w:cs="Garamond" w:ascii="Garamond" w:hAnsi="Garamond"/>
          <w:color w:val="000080"/>
          <w:sz w:val="40"/>
        </w:rPr>
        <w:t>Competitive Analysis</w:t>
      </w:r>
    </w:p>
    <w:p>
      <w:pPr>
        <w:pStyle w:val="Subtitle"/>
        <w:ind w:start="5040" w:end="0"/>
        <w:jc w:val="end"/>
        <w:rPr>
          <w:rFonts w:ascii="Garamond" w:hAnsi="Garamond" w:cs="Garamond"/>
          <w:color w:val="000080"/>
          <w:sz w:val="40"/>
        </w:rPr>
      </w:pPr>
      <w:r>
        <w:rPr>
          <w:rFonts w:cs="Garamond" w:ascii="Garamond" w:hAnsi="Garamond"/>
          <w:color w:val="000080"/>
          <w:sz w:val="40"/>
        </w:rPr>
      </w:r>
    </w:p>
    <w:p>
      <w:pPr>
        <w:pStyle w:val="Subtitle"/>
        <w:jc w:val="start"/>
        <w:rPr>
          <w:rFonts w:ascii="Garamond" w:hAnsi="Garamond" w:cs="Garamond"/>
          <w:color w:val="000080"/>
          <w:sz w:val="28"/>
        </w:rPr>
      </w:pPr>
      <w:r>
        <w:rPr>
          <w:rFonts w:cs="Garamond" w:ascii="Garamond" w:hAnsi="Garamond"/>
          <w:color w:val="000080"/>
          <w:sz w:val="28"/>
        </w:rPr>
      </w:r>
    </w:p>
    <w:p>
      <w:pPr>
        <w:pStyle w:val="Header"/>
        <w:tabs>
          <w:tab w:val="clear" w:pos="4320"/>
          <w:tab w:val="clear" w:pos="8640"/>
        </w:tabs>
        <w:rPr>
          <w:rFonts w:ascii="Garamond" w:hAnsi="Garamond" w:cs="Garamond"/>
          <w:color w:val="000080"/>
          <w:sz w:val="28"/>
        </w:rPr>
      </w:pPr>
      <w:r>
        <w:rPr>
          <w:rFonts w:cs="Garamond" w:ascii="Garamond" w:hAnsi="Garamond"/>
          <w:color w:val="000080"/>
          <w:sz w:val="28"/>
        </w:rPr>
      </w:r>
    </w:p>
    <w:p>
      <w:pPr>
        <w:pStyle w:val="Heading3"/>
        <w:ind w:hanging="0" w:start="0"/>
        <w:rPr>
          <w:sz w:val="22"/>
        </w:rPr>
      </w:pPr>
      <w:r>
        <w:rPr>
          <w:sz w:val="22"/>
        </w:rPr>
        <w:t>MEMORANDUM</w:t>
      </w:r>
    </w:p>
    <w:p>
      <w:pPr>
        <w:pStyle w:val="Normal"/>
        <w:rPr>
          <w:sz w:val="22"/>
        </w:rPr>
      </w:pPr>
      <w:r>
        <w:rPr>
          <w:sz w:val="22"/>
        </w:rPr>
      </w:r>
    </w:p>
    <w:p>
      <w:pPr>
        <w:pStyle w:val="Normal"/>
        <w:rPr>
          <w:sz w:val="22"/>
        </w:rPr>
      </w:pPr>
      <w:r>
        <w:rPr>
          <w:sz w:val="22"/>
        </w:rPr>
        <w:t>TO:</w:t>
        <w:tab/>
        <w:tab/>
        <w:t>EGM Financial Trading, Enron Credit</w:t>
      </w:r>
    </w:p>
    <w:p>
      <w:pPr>
        <w:pStyle w:val="Normal"/>
        <w:rPr>
          <w:sz w:val="22"/>
        </w:rPr>
      </w:pPr>
      <w:r>
        <w:rPr>
          <w:sz w:val="22"/>
        </w:rPr>
        <w:t>FROM:</w:t>
        <w:tab/>
        <w:tab/>
        <w:t>Brendan Fitzsimmons x54763</w:t>
      </w:r>
    </w:p>
    <w:p>
      <w:pPr>
        <w:pStyle w:val="Normal"/>
        <w:rPr>
          <w:sz w:val="22"/>
        </w:rPr>
      </w:pPr>
      <w:r>
        <w:rPr>
          <w:sz w:val="22"/>
        </w:rPr>
        <w:t>CC:</w:t>
        <w:tab/>
        <w:tab/>
        <w:t>Jeffrey A. Shankman, Kevin Hannon, Scott Tholan, Robert Johnston</w:t>
      </w:r>
    </w:p>
    <w:p>
      <w:pPr>
        <w:pStyle w:val="Normal"/>
        <w:rPr>
          <w:sz w:val="22"/>
        </w:rPr>
      </w:pPr>
      <w:r>
        <w:rPr>
          <w:sz w:val="22"/>
        </w:rPr>
        <w:t>DATE:</w:t>
        <w:tab/>
        <w:tab/>
        <w:t>06/25/01</w:t>
      </w:r>
    </w:p>
    <w:p>
      <w:pPr>
        <w:pStyle w:val="Normal"/>
        <w:pBdr>
          <w:bottom w:val="single" w:sz="12" w:space="1" w:color="000000"/>
        </w:pBdr>
        <w:rPr>
          <w:sz w:val="22"/>
        </w:rPr>
      </w:pPr>
      <w:r>
        <w:rPr>
          <w:sz w:val="22"/>
        </w:rPr>
        <w:t>RE:</w:t>
        <w:tab/>
        <w:tab/>
      </w:r>
      <w:r>
        <w:rPr>
          <w:rFonts w:cs="Arial" w:ascii="Arial" w:hAnsi="Arial"/>
          <w:b/>
          <w:bCs/>
          <w:sz w:val="20"/>
        </w:rPr>
        <w:t xml:space="preserve">ARGENTINA: </w:t>
      </w:r>
      <w:r>
        <w:rPr>
          <w:rFonts w:cs="Arial" w:ascii="Arial" w:hAnsi="Arial"/>
          <w:b/>
          <w:bCs/>
          <w:color w:val="FF0000"/>
          <w:sz w:val="20"/>
        </w:rPr>
        <w:t>Confidence War Continues on All fronts, Next Test Short-term Debt</w:t>
      </w:r>
    </w:p>
    <w:p>
      <w:pPr>
        <w:pStyle w:val="BodyTextIndent2"/>
        <w:ind w:start="0" w:end="0"/>
        <w:rPr>
          <w:sz w:val="22"/>
        </w:rPr>
      </w:pPr>
      <w:r>
        <w:rPr>
          <w:sz w:val="22"/>
        </w:rPr>
      </w:r>
    </w:p>
    <w:p>
      <w:pPr>
        <w:pStyle w:val="Heading1"/>
        <w:ind w:hanging="0" w:start="0"/>
        <w:rPr>
          <w:rFonts w:ascii="Arial" w:hAnsi="Arial" w:cs="Arial"/>
          <w:sz w:val="20"/>
          <w:u w:val="single"/>
        </w:rPr>
      </w:pPr>
      <w:r>
        <w:rPr>
          <w:rFonts w:cs="Arial" w:ascii="Arial" w:hAnsi="Arial"/>
          <w:sz w:val="20"/>
          <w:u w:val="single"/>
        </w:rPr>
        <w:t>SUMMARY</w:t>
      </w:r>
    </w:p>
    <w:p>
      <w:pPr>
        <w:pStyle w:val="Normal"/>
        <w:jc w:val="both"/>
        <w:rPr>
          <w:rFonts w:ascii="Arial" w:hAnsi="Arial" w:cs="Arial"/>
          <w:sz w:val="20"/>
          <w:u w:val="single"/>
        </w:rPr>
      </w:pPr>
      <w:r>
        <w:rPr>
          <w:rFonts w:cs="Arial" w:ascii="Arial" w:hAnsi="Arial"/>
          <w:sz w:val="20"/>
          <w:u w:val="single"/>
        </w:rPr>
      </w:r>
    </w:p>
    <w:p>
      <w:pPr>
        <w:pStyle w:val="BodyText"/>
        <w:rPr/>
      </w:pPr>
      <w:r>
        <w:rPr/>
        <w:t xml:space="preserve">Despite announcement of agreement by opposition party provincial governments to heralded emergency austerity plan (“zero deficit plan”), assault on Argentina likely to continue on doubts about implementation, economic consequences.  Next near term test in short-term debt swap and rollover auction on Tuesday.  Economics Minister Cavallo, in unusually candid piece in NYT, admitted markets’ ability to push the country past the brink to default.  Peronist Buenos Aires Governor Ruckauf warning of provincial default trigger (shades of Itamar Franco in Brazil in late 1998).  This morning, Moody’s downgraded BA provincial debt to junk (Caa1) and Fitch, which started the most recent spate of downgrades last week, cut ratings on various revenue backed debt and structured finance transactions, notably including some with rolling World Bank guarantees.  All lowered ratings remain on negative outlook, watch. </w:t>
      </w:r>
    </w:p>
    <w:p>
      <w:pPr>
        <w:pStyle w:val="Normal"/>
        <w:jc w:val="both"/>
        <w:rPr/>
      </w:pPr>
      <w:r>
        <w:rPr/>
      </w:r>
    </w:p>
    <w:p>
      <w:pPr>
        <w:pStyle w:val="Normal"/>
        <w:numPr>
          <w:ilvl w:val="0"/>
          <w:numId w:val="2"/>
        </w:numPr>
        <w:jc w:val="both"/>
        <w:rPr>
          <w:rFonts w:ascii="Arial" w:hAnsi="Arial" w:cs="Arial"/>
          <w:sz w:val="20"/>
        </w:rPr>
      </w:pPr>
      <w:r>
        <w:rPr>
          <w:rFonts w:cs="Arial" w:ascii="Arial" w:hAnsi="Arial"/>
          <w:b/>
          <w:bCs/>
          <w:color w:val="FF0000"/>
          <w:sz w:val="20"/>
        </w:rPr>
        <w:t>Political compromise at federal level on austerity package:</w:t>
      </w:r>
      <w:r>
        <w:rPr>
          <w:rFonts w:cs="Arial" w:ascii="Arial" w:hAnsi="Arial"/>
          <w:sz w:val="20"/>
        </w:rPr>
        <w:t xml:space="preserve"> De La Rua and Cavallo trade higher floor on affected wages and pensions to be cut to gain broader support from leftwing (Alfonsin) of Radical Party in congress. </w:t>
      </w:r>
    </w:p>
    <w:p>
      <w:pPr>
        <w:pStyle w:val="Normal"/>
        <w:jc w:val="both"/>
        <w:rPr>
          <w:rFonts w:ascii="Arial" w:hAnsi="Arial" w:cs="Arial"/>
          <w:sz w:val="20"/>
        </w:rPr>
      </w:pPr>
      <w:r>
        <w:rPr>
          <w:rFonts w:cs="Arial" w:ascii="Arial" w:hAnsi="Arial"/>
          <w:sz w:val="20"/>
        </w:rPr>
      </w:r>
    </w:p>
    <w:p>
      <w:pPr>
        <w:pStyle w:val="BodyText"/>
        <w:ind w:start="360" w:end="0"/>
        <w:rPr/>
      </w:pPr>
      <w:r>
        <w:rPr>
          <w:b/>
          <w:bCs/>
        </w:rPr>
        <w:t>Key take-away:</w:t>
      </w:r>
      <w:r>
        <w:rPr/>
        <w:t xml:space="preserve"> Expect early market relief, but awaiting for further domestic reaction –  especially power struggle within Radical Party between Alfonsin and DLR.  Alfonsin strengthened by revised terms, more pressure on Cavallo.</w:t>
      </w:r>
    </w:p>
    <w:p>
      <w:pPr>
        <w:pStyle w:val="BodyText"/>
        <w:ind w:start="360" w:end="0"/>
        <w:rPr/>
      </w:pPr>
      <w:r>
        <w:rPr/>
      </w:r>
    </w:p>
    <w:p>
      <w:pPr>
        <w:pStyle w:val="Normal"/>
        <w:numPr>
          <w:ilvl w:val="0"/>
          <w:numId w:val="2"/>
        </w:numPr>
        <w:jc w:val="both"/>
        <w:rPr>
          <w:rFonts w:ascii="Arial" w:hAnsi="Arial" w:cs="Arial"/>
          <w:sz w:val="20"/>
        </w:rPr>
      </w:pPr>
      <w:r>
        <w:rPr>
          <w:rFonts w:cs="Arial" w:ascii="Arial" w:hAnsi="Arial"/>
          <w:b/>
          <w:bCs/>
          <w:color w:val="FF0000"/>
          <w:sz w:val="20"/>
        </w:rPr>
        <w:t>Short-term debt swap – still no agreement:</w:t>
      </w:r>
      <w:r>
        <w:rPr>
          <w:rFonts w:cs="Arial" w:ascii="Arial" w:hAnsi="Arial"/>
          <w:sz w:val="20"/>
        </w:rPr>
        <w:t xml:space="preserve"> Swap of 91- and 180-day bills into 1-year bond that we reported is still the base case.  Lack of announcement reflects serious difficulties in forging agreement.  Sources report best offer from 12 primary dealers: $950 million at usurious 12-14% (no better than last week’s 91-day auction).  Early report on Tuesday: dealers asking north of 25% on $350 mil. scheduled for auction.</w:t>
      </w:r>
    </w:p>
    <w:p>
      <w:pPr>
        <w:pStyle w:val="Normal"/>
        <w:jc w:val="both"/>
        <w:rPr>
          <w:rFonts w:ascii="Arial" w:hAnsi="Arial" w:cs="Arial"/>
          <w:sz w:val="20"/>
        </w:rPr>
      </w:pPr>
      <w:r>
        <w:rPr>
          <w:rFonts w:cs="Arial" w:ascii="Arial" w:hAnsi="Arial"/>
          <w:sz w:val="20"/>
        </w:rPr>
      </w:r>
    </w:p>
    <w:p>
      <w:pPr>
        <w:pStyle w:val="Normal"/>
        <w:ind w:start="360" w:end="0"/>
        <w:jc w:val="both"/>
        <w:rPr/>
      </w:pPr>
      <w:r>
        <w:rPr>
          <w:rFonts w:cs="Arial" w:ascii="Arial" w:hAnsi="Arial"/>
          <w:b/>
          <w:bCs/>
          <w:sz w:val="20"/>
        </w:rPr>
        <w:t>Key Take-away:</w:t>
      </w:r>
      <w:r>
        <w:rPr>
          <w:rFonts w:cs="Arial" w:ascii="Arial" w:hAnsi="Arial"/>
          <w:sz w:val="20"/>
        </w:rPr>
        <w:t xml:space="preserve"> Expect initial positive market response (ala Wednesday’s FRB) on any announcement but with doubts to re-emerge quickly: $3 bil. still to needed over next six months, 14% unsustainable.</w:t>
      </w:r>
    </w:p>
    <w:p>
      <w:pPr>
        <w:pStyle w:val="BodyText"/>
        <w:ind w:start="360" w:end="0"/>
        <w:rPr>
          <w:rFonts w:ascii="Arial" w:hAnsi="Arial" w:cs="Arial"/>
          <w:sz w:val="20"/>
        </w:rPr>
      </w:pPr>
      <w:r>
        <w:rPr>
          <w:rFonts w:cs="Arial"/>
          <w:sz w:val="20"/>
        </w:rPr>
      </w:r>
    </w:p>
    <w:p>
      <w:pPr>
        <w:pStyle w:val="Normal"/>
        <w:numPr>
          <w:ilvl w:val="0"/>
          <w:numId w:val="2"/>
        </w:numPr>
        <w:jc w:val="both"/>
        <w:rPr>
          <w:rFonts w:ascii="Arial" w:hAnsi="Arial" w:cs="Arial"/>
          <w:sz w:val="20"/>
        </w:rPr>
      </w:pPr>
      <w:r>
        <w:rPr>
          <w:rFonts w:cs="Arial" w:ascii="Arial" w:hAnsi="Arial"/>
          <w:b/>
          <w:bCs/>
          <w:color w:val="FF0000"/>
          <w:sz w:val="20"/>
        </w:rPr>
        <w:t>Crucial provincial battle worsens as Ruckauf warns of BA provincial default after court blocks decree on salary cuts:</w:t>
      </w:r>
      <w:r>
        <w:rPr>
          <w:rFonts w:cs="Arial" w:ascii="Arial" w:hAnsi="Arial"/>
          <w:sz w:val="20"/>
        </w:rPr>
        <w:t xml:space="preserve"> BA Governor (opposition Peronist) had decreed austerity cuts after failing to reach agreement with the state legislature (Alliance-Radical controlled).  Court ruling forces him to go back to the same legislature to get plan implemented.  BA debt even weaker than Argy sovereign.</w:t>
      </w:r>
    </w:p>
    <w:p>
      <w:pPr>
        <w:pStyle w:val="BodyText"/>
        <w:ind w:start="360" w:end="0"/>
        <w:rPr>
          <w:rFonts w:ascii="Arial" w:hAnsi="Arial" w:cs="Arial"/>
          <w:b/>
          <w:bCs/>
          <w:sz w:val="20"/>
        </w:rPr>
      </w:pPr>
      <w:r>
        <w:rPr>
          <w:rFonts w:cs="Arial"/>
          <w:b/>
          <w:bCs/>
          <w:sz w:val="20"/>
        </w:rPr>
      </w:r>
    </w:p>
    <w:p>
      <w:pPr>
        <w:pStyle w:val="BodyText"/>
        <w:ind w:start="360" w:end="0"/>
        <w:rPr/>
      </w:pPr>
      <w:r>
        <w:rPr>
          <w:b/>
          <w:bCs/>
        </w:rPr>
        <w:t>Key take-away:</w:t>
      </w:r>
      <w:r>
        <w:rPr/>
        <w:t xml:space="preserve"> Think California: This political impasse represents preview of battles ahead with BA province as main state battleground accounting for 40% of Argy GDP and largest, most vulnerable  chunk of non-federal debt.  Ruckauf battling for power both within Peronist leadership and against DLR for next presidency.</w:t>
      </w:r>
    </w:p>
    <w:p>
      <w:pPr>
        <w:pStyle w:val="BodyText"/>
        <w:ind w:start="360" w:end="0"/>
        <w:rPr>
          <w:rFonts w:eastAsia="Arial"/>
        </w:rPr>
      </w:pPr>
      <w:r>
        <w:rPr>
          <w:rFonts w:eastAsia="Arial"/>
        </w:rPr>
        <w:t xml:space="preserve">    </w:t>
      </w:r>
    </w:p>
    <w:p>
      <w:pPr>
        <w:pStyle w:val="Normal"/>
        <w:numPr>
          <w:ilvl w:val="0"/>
          <w:numId w:val="2"/>
        </w:numPr>
        <w:jc w:val="both"/>
        <w:rPr>
          <w:rFonts w:ascii="Arial" w:hAnsi="Arial" w:cs="Arial"/>
          <w:sz w:val="20"/>
        </w:rPr>
      </w:pPr>
      <w:r>
        <w:rPr>
          <w:rFonts w:cs="Arial" w:ascii="Arial" w:hAnsi="Arial"/>
          <w:b/>
          <w:bCs/>
          <w:color w:val="FF0000"/>
          <w:sz w:val="20"/>
        </w:rPr>
        <w:t>Strike by government workers:</w:t>
      </w:r>
      <w:r>
        <w:rPr>
          <w:rFonts w:cs="Arial" w:ascii="Arial" w:hAnsi="Arial"/>
          <w:sz w:val="20"/>
        </w:rPr>
        <w:t xml:space="preserve"> Apart from blow to external confidence, success of the one-day strike reinforced both general popular opposition to austerity measures and unrelenting political challenges within and between major parties, with all eyes on leadership and October election battles.</w:t>
      </w:r>
    </w:p>
    <w:p>
      <w:pPr>
        <w:pStyle w:val="Normal"/>
        <w:jc w:val="both"/>
        <w:rPr>
          <w:rFonts w:ascii="Arial" w:hAnsi="Arial" w:cs="Arial"/>
          <w:sz w:val="20"/>
        </w:rPr>
      </w:pPr>
      <w:r>
        <w:rPr>
          <w:rFonts w:cs="Arial" w:ascii="Arial" w:hAnsi="Arial"/>
          <w:sz w:val="20"/>
        </w:rPr>
      </w:r>
    </w:p>
    <w:p>
      <w:pPr>
        <w:pStyle w:val="Normal"/>
        <w:ind w:start="360" w:end="0"/>
        <w:jc w:val="both"/>
        <w:rPr/>
      </w:pPr>
      <w:r>
        <w:rPr>
          <w:rFonts w:cs="Arial" w:ascii="Arial" w:hAnsi="Arial"/>
          <w:b/>
          <w:bCs/>
          <w:sz w:val="20"/>
        </w:rPr>
        <w:t xml:space="preserve">Key take-away: </w:t>
      </w:r>
      <w:r>
        <w:rPr>
          <w:rFonts w:cs="Arial" w:ascii="Arial" w:hAnsi="Arial"/>
          <w:sz w:val="20"/>
        </w:rPr>
        <w:t>Yesterday likely preview of domestic unrest to come, given depth of the pain for politically sensitive government workers and pensioners after three years of recession.</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b/>
          <w:bCs/>
          <w:sz w:val="20"/>
        </w:rPr>
        <w:t xml:space="preserve">International Officials: </w:t>
      </w:r>
      <w:r>
        <w:rPr>
          <w:rFonts w:cs="Arial" w:ascii="Arial" w:hAnsi="Arial"/>
          <w:sz w:val="20"/>
        </w:rPr>
        <w:t>UST, President Bush, Greenspan, IMF: While all voicing support, none have money, choosing instead to minimize contagion risk from Argy and focus on “domestic” character of its current problems.</w:t>
      </w:r>
    </w:p>
    <w:p>
      <w:pPr>
        <w:pStyle w:val="Normal"/>
        <w:jc w:val="both"/>
        <w:rPr>
          <w:rFonts w:ascii="Arial" w:hAnsi="Arial" w:eastAsia="Arial" w:cs="Arial"/>
          <w:sz w:val="20"/>
        </w:rPr>
      </w:pPr>
      <w:r>
        <w:rPr>
          <w:rFonts w:eastAsia="Arial" w:cs="Arial" w:ascii="Arial" w:hAnsi="Arial"/>
          <w:sz w:val="20"/>
        </w:rPr>
        <w:t xml:space="preserve">  </w:t>
      </w:r>
    </w:p>
    <w:p>
      <w:pPr>
        <w:pStyle w:val="Normal"/>
        <w:jc w:val="both"/>
        <w:rPr/>
      </w:pPr>
      <w:r>
        <w:rPr>
          <w:rFonts w:cs="Arial" w:ascii="Arial" w:hAnsi="Arial"/>
          <w:b/>
          <w:bCs/>
          <w:sz w:val="20"/>
        </w:rPr>
        <w:t>Markets:</w:t>
      </w:r>
      <w:r>
        <w:rPr>
          <w:rFonts w:cs="Arial" w:ascii="Arial" w:hAnsi="Arial"/>
          <w:sz w:val="20"/>
        </w:rPr>
        <w:t xml:space="preserve"> Benchmark bonds (FRBs), despite recent rally, down 20%.  While 1-week forwards on Argy Pesos have eased to 80 bp (from 300) 12-month forwards remain at crisis highs (4250 bp), even after bond rally and jawboning. </w:t>
      </w:r>
    </w:p>
    <w:p>
      <w:pPr>
        <w:pStyle w:val="Normal"/>
        <w:jc w:val="both"/>
        <w:rPr>
          <w:rFonts w:ascii="Arial" w:hAnsi="Arial" w:cs="Arial"/>
          <w:sz w:val="20"/>
        </w:rPr>
      </w:pPr>
      <w:r>
        <w:rPr>
          <w:rFonts w:cs="Arial" w:ascii="Arial" w:hAnsi="Arial"/>
          <w:sz w:val="20"/>
        </w:rPr>
      </w:r>
    </w:p>
    <w:p>
      <w:pPr>
        <w:pStyle w:val="Normal"/>
        <w:jc w:val="both"/>
        <w:rPr>
          <w:rFonts w:ascii="Arial" w:hAnsi="Arial" w:cs="Arial"/>
          <w:b/>
          <w:bCs/>
          <w:sz w:val="20"/>
        </w:rPr>
      </w:pPr>
      <w:r>
        <w:rPr>
          <w:rFonts w:cs="Arial" w:ascii="Arial" w:hAnsi="Arial"/>
          <w:b/>
          <w:bCs/>
          <w:sz w:val="20"/>
        </w:rPr>
      </w:r>
    </w:p>
    <w:p>
      <w:pPr>
        <w:pStyle w:val="Heading2"/>
        <w:ind w:hanging="0" w:start="0"/>
        <w:rPr/>
      </w:pPr>
      <w:r>
        <w:rPr/>
        <w:t>OUTLOOK</w:t>
      </w:r>
    </w:p>
    <w:p>
      <w:pPr>
        <w:pStyle w:val="Normal"/>
        <w:jc w:val="both"/>
        <w:rPr>
          <w:rFonts w:ascii="Arial" w:hAnsi="Arial" w:cs="Arial"/>
          <w:b/>
          <w:bCs/>
          <w:sz w:val="20"/>
        </w:rPr>
      </w:pPr>
      <w:r>
        <w:rPr>
          <w:rFonts w:cs="Arial" w:ascii="Arial" w:hAnsi="Arial"/>
          <w:b/>
          <w:bCs/>
          <w:sz w:val="20"/>
        </w:rPr>
      </w:r>
    </w:p>
    <w:p>
      <w:pPr>
        <w:pStyle w:val="Normal"/>
        <w:jc w:val="both"/>
        <w:rPr/>
      </w:pPr>
      <w:r>
        <w:rPr>
          <w:rFonts w:cs="Arial" w:ascii="Arial" w:hAnsi="Arial"/>
          <w:b/>
          <w:bCs/>
          <w:sz w:val="20"/>
        </w:rPr>
        <w:t>Near-term:</w:t>
      </w:r>
      <w:r>
        <w:rPr>
          <w:rFonts w:cs="Arial" w:ascii="Arial" w:hAnsi="Arial"/>
          <w:sz w:val="20"/>
        </w:rPr>
        <w:t xml:space="preserve"> </w:t>
      </w:r>
      <w:r>
        <w:rPr>
          <w:rFonts w:cs="Arial" w:ascii="Arial" w:hAnsi="Arial"/>
          <w:b/>
          <w:bCs/>
          <w:color w:val="FF0000"/>
          <w:sz w:val="20"/>
        </w:rPr>
        <w:t>Weekends in Agry always dangerous</w:t>
      </w:r>
      <w:r>
        <w:rPr>
          <w:rFonts w:cs="Arial" w:ascii="Arial" w:hAnsi="Arial"/>
          <w:color w:val="000000"/>
          <w:sz w:val="20"/>
        </w:rPr>
        <w:t>. Upside from austerity agreement priced in.  Details, interest rate extracted on swap and auction will open up potential downside.  Particular danger in any auction delay rumors into Monday.</w:t>
      </w:r>
    </w:p>
    <w:p>
      <w:pPr>
        <w:pStyle w:val="Normal"/>
        <w:jc w:val="both"/>
        <w:rPr>
          <w:rFonts w:ascii="Arial" w:hAnsi="Arial" w:cs="Arial"/>
          <w:sz w:val="20"/>
        </w:rPr>
      </w:pPr>
      <w:r>
        <w:rPr>
          <w:rFonts w:cs="Arial" w:ascii="Arial" w:hAnsi="Arial"/>
          <w:sz w:val="20"/>
        </w:rPr>
        <w:t> </w:t>
      </w:r>
    </w:p>
    <w:p>
      <w:pPr>
        <w:pStyle w:val="Normal"/>
        <w:jc w:val="both"/>
        <w:rPr/>
      </w:pPr>
      <w:r>
        <w:rPr>
          <w:rFonts w:cs="Arial" w:ascii="Arial" w:hAnsi="Arial"/>
          <w:b/>
          <w:bCs/>
          <w:sz w:val="20"/>
        </w:rPr>
        <w:t>Medium-term:</w:t>
      </w:r>
      <w:r>
        <w:rPr>
          <w:rFonts w:cs="Arial" w:ascii="Arial" w:hAnsi="Arial"/>
          <w:sz w:val="20"/>
        </w:rPr>
        <w:t xml:space="preserve"> </w:t>
      </w:r>
      <w:r>
        <w:rPr>
          <w:rFonts w:cs="Arial" w:ascii="Arial" w:hAnsi="Arial"/>
          <w:b/>
          <w:bCs/>
          <w:color w:val="FF0000"/>
          <w:sz w:val="20"/>
        </w:rPr>
        <w:t>Following fortnightly auctions (8/7, 8/21, 9/11) will continue to be the weakest points for market moves against Argy</w:t>
      </w:r>
      <w:r>
        <w:rPr>
          <w:rFonts w:cs="Arial" w:ascii="Arial" w:hAnsi="Arial"/>
          <w:sz w:val="20"/>
        </w:rPr>
        <w:t xml:space="preserve">, with stakes raised further by any intervening domestic political turmoil.  </w:t>
      </w:r>
      <w:r>
        <w:rPr>
          <w:rFonts w:cs="Arial" w:ascii="Arial" w:hAnsi="Arial"/>
          <w:b/>
          <w:bCs/>
          <w:color w:val="FF0000"/>
          <w:sz w:val="20"/>
        </w:rPr>
        <w:t xml:space="preserve">Crucial period is September 25 – October 14, </w:t>
      </w:r>
      <w:r>
        <w:rPr>
          <w:rFonts w:cs="Arial" w:ascii="Arial" w:hAnsi="Arial"/>
          <w:color w:val="000000"/>
          <w:sz w:val="20"/>
        </w:rPr>
        <w:t>when two T-bill auctions are scheduled, recent high rate bills come due, and critical mid-term elections will be held.</w:t>
      </w:r>
      <w:r>
        <w:rPr>
          <w:rFonts w:cs="Arial" w:ascii="Arial" w:hAnsi="Arial"/>
          <w:sz w:val="20"/>
        </w:rPr>
        <w:t xml:space="preserve"> </w:t>
      </w:r>
    </w:p>
    <w:p>
      <w:pPr>
        <w:pStyle w:val="Normal"/>
        <w:jc w:val="both"/>
        <w:rPr>
          <w:rFonts w:ascii="Arial" w:hAnsi="Arial" w:cs="Arial"/>
          <w:sz w:val="20"/>
        </w:rPr>
      </w:pPr>
      <w:r>
        <w:rPr>
          <w:rFonts w:cs="Arial" w:ascii="Arial" w:hAnsi="Arial"/>
          <w:sz w:val="20"/>
        </w:rPr>
        <w:t> </w:t>
      </w:r>
    </w:p>
    <w:p>
      <w:pPr>
        <w:pStyle w:val="Normal"/>
        <w:jc w:val="both"/>
        <w:rPr>
          <w:rFonts w:ascii="Arial" w:hAnsi="Arial" w:cs="Arial"/>
          <w:sz w:val="20"/>
        </w:rPr>
      </w:pPr>
      <w:r>
        <w:rPr>
          <w:rFonts w:cs="Arial" w:ascii="Arial" w:hAnsi="Arial"/>
          <w:b/>
          <w:bCs/>
          <w:sz w:val="20"/>
        </w:rPr>
        <w:t>Long-term:</w:t>
      </w:r>
      <w:r>
        <w:rPr>
          <w:rFonts w:cs="Arial" w:ascii="Arial" w:hAnsi="Arial"/>
          <w:sz w:val="20"/>
        </w:rPr>
        <w:t xml:space="preserve"> If Argy manages to get through 2001 with convertibility and without defaulting, while generating growth and delivering on deficit, the </w:t>
      </w:r>
      <w:r>
        <w:rPr>
          <w:rFonts w:cs="Arial" w:ascii="Arial" w:hAnsi="Arial"/>
          <w:b/>
          <w:bCs/>
          <w:color w:val="FF0000"/>
          <w:sz w:val="20"/>
        </w:rPr>
        <w:t>debt burden generated by latest short-term triage will likely bring revisitation of last four months’ challenges in post election atmosphere.</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b/>
          <w:bCs/>
          <w:sz w:val="20"/>
        </w:rPr>
        <w:t>Bottom-line:</w:t>
      </w:r>
      <w:r>
        <w:rPr>
          <w:rFonts w:cs="Arial" w:ascii="Arial" w:hAnsi="Arial"/>
          <w:sz w:val="20"/>
        </w:rPr>
        <w:t xml:space="preserve"> </w:t>
      </w:r>
      <w:r>
        <w:rPr>
          <w:rFonts w:cs="Arial" w:ascii="Arial" w:hAnsi="Arial"/>
          <w:b/>
          <w:bCs/>
          <w:color w:val="FF0000"/>
          <w:sz w:val="20"/>
        </w:rPr>
        <w:t>Forced or other restructuring (polite default) most likely outcome, barring low probability scenario of Argy hitting growth AND deficit targets for 2001</w:t>
      </w:r>
      <w:r>
        <w:rPr>
          <w:rFonts w:cs="Arial" w:ascii="Arial" w:hAnsi="Arial"/>
          <w:sz w:val="20"/>
        </w:rPr>
        <w:t>.  Only a sharp fall in the dollar and crude, along with Euro/$ below parity would raise probability.  However, if all three conditions were to occur, the implications for world demand would still weigh on domestic Argy economy, threatening a return to three-year long recession.</w:t>
      </w:r>
    </w:p>
    <w:sectPr>
      <w:headerReference w:type="default" r:id="rId4"/>
      <w:type w:val="nextPage"/>
      <w:pgSz w:w="12240" w:h="15840"/>
      <w:pgMar w:left="1440" w:right="1440" w:gutter="0" w:header="576"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Garamond">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8"/>
      </w:rPr>
    </w:pPr>
    <w:r>
      <w:rPr>
        <w:b/>
        <w:sz w:val="28"/>
      </w:rPr>
      <w:t>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paragraph" w:styleId="Heading2">
    <w:name w:val="heading 2"/>
    <w:basedOn w:val="Normal"/>
    <w:next w:val="Normal"/>
    <w:qFormat/>
    <w:pPr>
      <w:keepNext w:val="true"/>
      <w:numPr>
        <w:ilvl w:val="1"/>
        <w:numId w:val="1"/>
      </w:numPr>
      <w:jc w:val="both"/>
      <w:outlineLvl w:val="1"/>
    </w:pPr>
    <w:rPr>
      <w:rFonts w:ascii="Arial" w:hAnsi="Arial" w:cs="Arial"/>
      <w:b/>
      <w:bCs/>
      <w:sz w:val="20"/>
      <w:u w:val="single"/>
    </w:rPr>
  </w:style>
  <w:style w:type="paragraph" w:styleId="Heading3">
    <w:name w:val="heading 3"/>
    <w:basedOn w:val="Normal"/>
    <w:next w:val="Normal"/>
    <w:qFormat/>
    <w:pPr>
      <w:keepNext w:val="true"/>
      <w:numPr>
        <w:ilvl w:val="2"/>
        <w:numId w:val="1"/>
      </w:numPr>
      <w:outlineLvl w:val="2"/>
    </w:pPr>
    <w:rPr>
      <w:b/>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sz w:val="32"/>
      <w:szCs w:val="20"/>
    </w:rPr>
  </w:style>
  <w:style w:type="paragraph" w:styleId="BodyTextIndent2">
    <w:name w:val="Body Text Indent 2"/>
    <w:basedOn w:val="Normal"/>
    <w:qFormat/>
    <w:pPr>
      <w:ind w:hanging="0" w:start="360" w:end="0"/>
    </w:pPr>
    <w:rPr>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2001-07-20T13:08:00Z</dcterms:created>
  <dc:creator>bfitzsi2</dc:creator>
  <dc:description/>
  <dc:language>en-CA</dc:language>
  <cp:lastModifiedBy>bfitzsi2</cp:lastModifiedBy>
  <cp:lastPrinted>2001-07-20T11:09:00Z</cp:lastPrinted>
  <dcterms:modified xsi:type="dcterms:W3CDTF">2001-07-20T13:49:00Z</dcterms:modified>
  <cp:revision>1</cp:revision>
  <dc:subject/>
  <dc:title>                               Enron Global Markets</dc:title>
</cp:coreProperties>
</file>