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jc w:val="center"/>
        <w:rPr>
          <w:b/>
        </w:rPr>
      </w:pPr>
      <w:r>
        <w:rPr>
          <w:b/>
        </w:rPr>
      </w:r>
    </w:p>
    <w:p>
      <w:pPr>
        <w:pStyle w:val="BodyTextIndent"/>
        <w:jc w:val="center"/>
        <w:rPr>
          <w:b/>
          <w:sz w:val="20"/>
          <w:lang w:val="en-CA" w:eastAsia="en-CA"/>
        </w:rPr>
      </w:pPr>
      <w:r>
        <w:rPr>
          <w:b/>
          <w:sz w:val="20"/>
          <w:lang w:val="en-CA" w:eastAsia="en-CA"/>
        </w:rPr>
        <w:drawing>
          <wp:anchor behindDoc="0" distT="0" distB="0" distL="114935" distR="114935" simplePos="0" locked="0" layoutInCell="0" allowOverlap="1" relativeHeight="2">
            <wp:simplePos x="0" y="0"/>
            <wp:positionH relativeFrom="column">
              <wp:posOffset>-108585</wp:posOffset>
            </wp:positionH>
            <wp:positionV relativeFrom="paragraph">
              <wp:posOffset>-614680</wp:posOffset>
            </wp:positionV>
            <wp:extent cx="1943100" cy="15570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3" r="-11" b="-13"/>
                    <a:stretch>
                      <a:fillRect/>
                    </a:stretch>
                  </pic:blipFill>
                  <pic:spPr bwMode="auto">
                    <a:xfrm>
                      <a:off x="0" y="0"/>
                      <a:ext cx="1943100" cy="1557020"/>
                    </a:xfrm>
                    <a:prstGeom prst="rect">
                      <a:avLst/>
                    </a:prstGeom>
                    <a:noFill/>
                  </pic:spPr>
                </pic:pic>
              </a:graphicData>
            </a:graphic>
          </wp:anchor>
        </w:drawing>
      </w:r>
    </w:p>
    <w:p>
      <w:pPr>
        <w:pStyle w:val="BodyTextIndent"/>
        <w:jc w:val="center"/>
        <w:rPr>
          <w:b/>
          <w:sz w:val="28"/>
        </w:rPr>
      </w:pPr>
      <w:r>
        <w:rPr>
          <w:b/>
          <w:sz w:val="28"/>
        </w:rPr>
        <w:t>What California Energy Consumers Should Know About ABX 1 —</w:t>
      </w:r>
    </w:p>
    <w:p>
      <w:pPr>
        <w:pStyle w:val="BodyTextIndent"/>
        <w:jc w:val="center"/>
        <w:rPr>
          <w:b/>
          <w:sz w:val="28"/>
        </w:rPr>
      </w:pPr>
      <w:r>
        <w:rPr>
          <w:b/>
          <w:sz w:val="28"/>
        </w:rPr>
        <w:t>And How SBX 27 Can Help Fix What’s Wrong</w:t>
      </w:r>
    </w:p>
    <w:p>
      <w:pPr>
        <w:pStyle w:val="BodyTextIndent"/>
        <w:rPr>
          <w:b/>
          <w:sz w:val="28"/>
        </w:rPr>
      </w:pPr>
      <w:r>
        <w:rPr>
          <w:b/>
          <w:sz w:val="28"/>
        </w:rPr>
      </w:r>
    </w:p>
    <w:p>
      <w:pPr>
        <w:pStyle w:val="BodyTextIndent"/>
        <w:rPr>
          <w:b/>
        </w:rPr>
      </w:pPr>
      <w:r>
        <w:rPr>
          <w:b/>
        </w:rPr>
      </w:r>
    </w:p>
    <w:p>
      <w:pPr>
        <w:pStyle w:val="Normal"/>
        <w:rPr>
          <w:rFonts w:ascii="Tahoma" w:hAnsi="Tahoma" w:cs="Tahoma"/>
          <w:b/>
        </w:rPr>
      </w:pPr>
      <w:r>
        <w:rPr>
          <w:rFonts w:cs="Tahoma" w:ascii="Tahoma" w:hAnsi="Tahoma"/>
          <w:b/>
        </w:rPr>
        <w:t xml:space="preserve">As it now reads, ABX 1 kills customer choice and hurts businesses by limiting their ability to self-contract for their individual energy needs. </w:t>
      </w:r>
    </w:p>
    <w:p>
      <w:pPr>
        <w:pStyle w:val="Normal"/>
        <w:rPr/>
      </w:pPr>
      <w:r>
        <w:rPr/>
      </w:r>
    </w:p>
    <w:p>
      <w:pPr>
        <w:pStyle w:val="Normal"/>
        <w:rPr/>
      </w:pPr>
      <w:r>
        <w:rPr>
          <w:rFonts w:cs="Tahoma" w:ascii="Tahoma" w:hAnsi="Tahoma"/>
        </w:rPr>
        <w:t>One of the provisions contained within ABX 1 indefinitely suspends consumers’ ability to enter into new agreements with alternate energy providers. A large coalition of business and retail energy service providers has come together to protect customer choice.</w:t>
      </w:r>
      <w:r>
        <w:rPr/>
        <w:t xml:space="preserve"> </w:t>
      </w:r>
    </w:p>
    <w:p>
      <w:pPr>
        <w:pStyle w:val="Normal"/>
        <w:ind w:start="360" w:end="0"/>
        <w:rPr>
          <w:rFonts w:ascii="Tahoma" w:hAnsi="Tahoma" w:cs="Tahoma"/>
        </w:rPr>
      </w:pPr>
      <w:r>
        <w:rPr>
          <w:rFonts w:cs="Tahoma" w:ascii="Tahoma" w:hAnsi="Tahoma"/>
        </w:rPr>
      </w:r>
    </w:p>
    <w:p>
      <w:pPr>
        <w:pStyle w:val="Normal"/>
        <w:ind w:start="360" w:end="0"/>
        <w:rPr>
          <w:rFonts w:ascii="Tahoma" w:hAnsi="Tahoma" w:cs="Tahoma"/>
        </w:rPr>
      </w:pPr>
      <w:r>
        <w:rPr>
          <w:rFonts w:cs="Tahoma" w:ascii="Tahoma" w:hAnsi="Tahoma"/>
        </w:rPr>
      </w:r>
    </w:p>
    <w:p>
      <w:pPr>
        <w:pStyle w:val="BodyTextIndent2"/>
        <w:ind w:start="0" w:end="0"/>
        <w:rPr/>
      </w:pPr>
      <w:r>
        <w:rPr/>
        <w:t xml:space="preserve">SBX27 can be an effective vehicle for fixing ABX 1. </w:t>
      </w:r>
    </w:p>
    <w:p>
      <w:pPr>
        <w:pStyle w:val="BodyTextIndent2"/>
        <w:ind w:start="0" w:end="0"/>
        <w:rPr/>
      </w:pPr>
      <w:r>
        <w:rPr/>
      </w:r>
    </w:p>
    <w:p>
      <w:pPr>
        <w:pStyle w:val="BodyTextIndent2"/>
        <w:ind w:start="0" w:end="0"/>
        <w:rPr>
          <w:b w:val="false"/>
        </w:rPr>
      </w:pPr>
      <w:r>
        <w:rPr>
          <w:b w:val="false"/>
        </w:rPr>
        <w:t>The coalition members agree that customer choice should be a part of California’s energy landscape. We support Senator Debra Bowen’s attempts to ensure customers have as many options as possible available to them to meet their energy needs. SBX 27 can enable customers to manage their particular energy needs without harming customers that elect to continue receiving their retail energy service through the California Department of Water resources and the utility.</w:t>
      </w:r>
    </w:p>
    <w:p>
      <w:pPr>
        <w:pStyle w:val="Normal"/>
        <w:ind w:start="360" w:end="0"/>
        <w:rPr>
          <w:rFonts w:ascii="Tahoma" w:hAnsi="Tahoma" w:cs="Tahoma"/>
          <w:b/>
        </w:rPr>
      </w:pPr>
      <w:r>
        <w:rPr>
          <w:rFonts w:cs="Tahoma" w:ascii="Tahoma" w:hAnsi="Tahoma"/>
          <w:b/>
        </w:rPr>
      </w:r>
    </w:p>
    <w:p>
      <w:pPr>
        <w:pStyle w:val="Normal"/>
        <w:ind w:start="360" w:end="0"/>
        <w:rPr>
          <w:rFonts w:ascii="Tahoma" w:hAnsi="Tahoma" w:cs="Tahoma"/>
        </w:rPr>
      </w:pPr>
      <w:r>
        <w:rPr>
          <w:rFonts w:cs="Tahoma" w:ascii="Tahoma" w:hAnsi="Tahoma"/>
        </w:rPr>
      </w:r>
    </w:p>
    <w:p>
      <w:pPr>
        <w:pStyle w:val="BodyTextIndent2"/>
        <w:ind w:start="0" w:end="0"/>
        <w:rPr/>
      </w:pPr>
      <w:r>
        <w:rPr/>
        <w:t xml:space="preserve">AReM proposes the following opt in/opt out structure to return customer choice without harming those that do not choose an alternative provider: </w:t>
      </w:r>
    </w:p>
    <w:p>
      <w:pPr>
        <w:pStyle w:val="Normal"/>
        <w:ind w:start="360" w:end="0"/>
        <w:rPr>
          <w:rFonts w:ascii="Tahoma" w:hAnsi="Tahoma" w:cs="Tahoma"/>
        </w:rPr>
      </w:pPr>
      <w:r>
        <w:rPr>
          <w:rFonts w:cs="Tahoma" w:ascii="Tahoma" w:hAnsi="Tahoma"/>
        </w:rPr>
      </w:r>
    </w:p>
    <w:p>
      <w:pPr>
        <w:pStyle w:val="Normal"/>
        <w:numPr>
          <w:ilvl w:val="0"/>
          <w:numId w:val="3"/>
        </w:numPr>
        <w:tabs>
          <w:tab w:val="clear" w:pos="720"/>
          <w:tab w:val="left" w:pos="360" w:leader="none"/>
        </w:tabs>
        <w:ind w:hanging="360" w:start="360" w:end="0"/>
        <w:rPr>
          <w:rFonts w:ascii="Tahoma" w:hAnsi="Tahoma" w:cs="Tahoma"/>
        </w:rPr>
      </w:pPr>
      <w:r>
        <w:rPr>
          <w:rFonts w:cs="Tahoma" w:ascii="Tahoma" w:hAnsi="Tahoma"/>
        </w:rPr>
        <w:t>Each consumer that signs up for retail service through a direct transaction results in the state having to procure energy for one less consumer.</w:t>
      </w:r>
    </w:p>
    <w:p>
      <w:pPr>
        <w:pStyle w:val="Normal"/>
        <w:rPr>
          <w:rFonts w:ascii="Tahoma" w:hAnsi="Tahoma" w:cs="Tahoma"/>
        </w:rPr>
      </w:pPr>
      <w:r>
        <w:rPr>
          <w:rFonts w:cs="Tahoma" w:ascii="Tahoma" w:hAnsi="Tahoma"/>
        </w:rPr>
      </w:r>
    </w:p>
    <w:p>
      <w:pPr>
        <w:pStyle w:val="Normal"/>
        <w:numPr>
          <w:ilvl w:val="0"/>
          <w:numId w:val="3"/>
        </w:numPr>
        <w:tabs>
          <w:tab w:val="clear" w:pos="720"/>
          <w:tab w:val="left" w:pos="360" w:leader="none"/>
        </w:tabs>
        <w:ind w:hanging="360" w:start="360" w:end="0"/>
        <w:rPr>
          <w:rFonts w:ascii="Tahoma" w:hAnsi="Tahoma" w:cs="Tahoma"/>
        </w:rPr>
      </w:pPr>
      <w:r>
        <w:rPr>
          <w:rFonts w:cs="Tahoma" w:ascii="Tahoma" w:hAnsi="Tahoma"/>
        </w:rPr>
        <w:t>Initial Subscription Period: Large commercial and industrial (C&amp;I) customers (demands &gt; 100kW) shall have the right to enter into a direct transaction for retail service until the state has fully satisfied the net short position of the respective utility with long-term contracts.</w:t>
      </w:r>
    </w:p>
    <w:p>
      <w:pPr>
        <w:pStyle w:val="Normal"/>
        <w:ind w:start="360" w:end="0"/>
        <w:rPr>
          <w:rFonts w:ascii="Tahoma" w:hAnsi="Tahoma" w:cs="Tahoma"/>
        </w:rPr>
      </w:pPr>
      <w:r>
        <w:rPr>
          <w:rFonts w:cs="Tahoma" w:ascii="Tahoma" w:hAnsi="Tahoma"/>
        </w:rPr>
      </w:r>
    </w:p>
    <w:p>
      <w:pPr>
        <w:pStyle w:val="Normal"/>
        <w:numPr>
          <w:ilvl w:val="0"/>
          <w:numId w:val="2"/>
        </w:numPr>
        <w:rPr>
          <w:rFonts w:ascii="Tahoma" w:hAnsi="Tahoma" w:cs="Tahoma"/>
        </w:rPr>
      </w:pPr>
      <w:r>
        <w:rPr>
          <w:rFonts w:cs="Tahoma" w:ascii="Tahoma" w:hAnsi="Tahoma"/>
        </w:rPr>
        <w:t>Exit Surcharge:  When a C&amp;I customer elects to enter into a direct transaction after the initial subscription period has closed, the state may impose a fee equal to the incremental costs (costs that the state cannot reasonably avoid until one or more long-term contracts lapse), if any, imposed on the state’s portfolio that are directly related to the load of the departing customer</w:t>
      </w:r>
    </w:p>
    <w:p>
      <w:pPr>
        <w:pStyle w:val="Normal"/>
        <w:ind w:start="360" w:end="0"/>
        <w:rPr>
          <w:rFonts w:ascii="Tahoma" w:hAnsi="Tahoma" w:cs="Tahoma"/>
        </w:rPr>
      </w:pPr>
      <w:r>
        <w:rPr>
          <w:rFonts w:cs="Tahoma" w:ascii="Tahoma" w:hAnsi="Tahoma"/>
        </w:rPr>
      </w:r>
    </w:p>
    <w:p>
      <w:pPr>
        <w:pStyle w:val="Normal"/>
        <w:numPr>
          <w:ilvl w:val="0"/>
          <w:numId w:val="2"/>
        </w:numPr>
        <w:rPr>
          <w:rFonts w:ascii="Tahoma" w:hAnsi="Tahoma" w:cs="Tahoma"/>
        </w:rPr>
      </w:pPr>
      <w:r>
        <w:rPr>
          <w:rFonts w:cs="Tahoma" w:ascii="Tahoma" w:hAnsi="Tahoma"/>
        </w:rPr>
        <w:t>Open Subscription Period: C&amp;I customers shall have the right to enter into a direct transaction, without being subject to the exit surcharge, upon notification by that state that a long-term contract has lapsed.</w:t>
      </w:r>
    </w:p>
    <w:p>
      <w:pPr>
        <w:pStyle w:val="Normal"/>
        <w:rPr>
          <w:rFonts w:ascii="Tahoma" w:hAnsi="Tahoma" w:cs="Tahoma"/>
        </w:rPr>
      </w:pPr>
      <w:r>
        <w:rPr>
          <w:rFonts w:cs="Tahoma" w:ascii="Tahoma" w:hAnsi="Tahoma"/>
        </w:rPr>
      </w:r>
    </w:p>
    <w:p>
      <w:pPr>
        <w:pStyle w:val="Normal"/>
        <w:numPr>
          <w:ilvl w:val="0"/>
          <w:numId w:val="2"/>
        </w:numPr>
        <w:rPr>
          <w:rFonts w:ascii="Tahoma" w:hAnsi="Tahoma" w:cs="Tahoma"/>
        </w:rPr>
      </w:pPr>
      <w:r>
        <w:rPr>
          <w:rFonts w:cs="Tahoma" w:ascii="Tahoma" w:hAnsi="Tahoma"/>
        </w:rPr>
        <w:t>Close of Open Subscription Period: This period shall remain in effect until the aggregated demand of all customers who have entered into a direct transaction exceeds the capacity of the lapsing contract.</w:t>
      </w:r>
    </w:p>
    <w:p>
      <w:pPr>
        <w:pStyle w:val="Normal"/>
        <w:rPr>
          <w:rFonts w:ascii="Tahoma" w:hAnsi="Tahoma" w:cs="Tahoma"/>
        </w:rPr>
      </w:pPr>
      <w:r>
        <w:rPr>
          <w:rFonts w:cs="Tahoma" w:ascii="Tahoma" w:hAnsi="Tahoma"/>
        </w:rPr>
      </w:r>
    </w:p>
    <w:p>
      <w:pPr>
        <w:pStyle w:val="Normal"/>
        <w:numPr>
          <w:ilvl w:val="0"/>
          <w:numId w:val="1"/>
        </w:numPr>
        <w:tabs>
          <w:tab w:val="clear" w:pos="720"/>
          <w:tab w:val="left" w:pos="360" w:leader="none"/>
        </w:tabs>
        <w:ind w:hanging="360" w:start="360" w:end="0"/>
        <w:rPr>
          <w:rFonts w:ascii="Tahoma" w:hAnsi="Tahoma" w:cs="Tahoma"/>
        </w:rPr>
      </w:pPr>
      <w:r>
        <w:rPr>
          <w:rFonts w:cs="Tahoma" w:ascii="Tahoma" w:hAnsi="Tahoma"/>
        </w:rPr>
        <w:t>Any new customer shall have the opportunity to enter into a direct transaction for retail service during the first 120 days of service without being subject to the exit surcharge.</w:t>
      </w:r>
    </w:p>
    <w:p>
      <w:pPr>
        <w:pStyle w:val="Normal"/>
        <w:rPr>
          <w:rFonts w:ascii="Tahoma" w:hAnsi="Tahoma" w:cs="Tahoma"/>
        </w:rPr>
      </w:pPr>
      <w:r>
        <w:rPr>
          <w:rFonts w:cs="Tahoma" w:ascii="Tahoma" w:hAnsi="Tahoma"/>
        </w:rPr>
      </w:r>
    </w:p>
    <w:p>
      <w:pPr>
        <w:pStyle w:val="Normal"/>
        <w:numPr>
          <w:ilvl w:val="0"/>
          <w:numId w:val="1"/>
        </w:numPr>
        <w:tabs>
          <w:tab w:val="clear" w:pos="720"/>
          <w:tab w:val="left" w:pos="360" w:leader="none"/>
        </w:tabs>
        <w:ind w:hanging="360" w:start="360" w:end="0"/>
        <w:rPr>
          <w:rFonts w:ascii="Tahoma" w:hAnsi="Tahoma" w:cs="Tahoma"/>
        </w:rPr>
      </w:pPr>
      <w:r>
        <w:rPr>
          <w:rFonts w:cs="Tahoma" w:ascii="Tahoma" w:hAnsi="Tahoma"/>
        </w:rPr>
        <w:t>The right of residential and small commercial customers (demands &lt; 100 kW) to enter into a direct transaction shall not be limited or subject to an exit charge.</w:t>
      </w:r>
    </w:p>
    <w:p>
      <w:pPr>
        <w:pStyle w:val="Normal"/>
        <w:rPr>
          <w:rFonts w:ascii="Tahoma" w:hAnsi="Tahoma" w:cs="Tahoma"/>
        </w:rPr>
      </w:pPr>
      <w:r>
        <w:rPr>
          <w:rFonts w:cs="Tahoma" w:ascii="Tahoma" w:hAnsi="Tahoma"/>
        </w:rPr>
      </w:r>
    </w:p>
    <w:p>
      <w:pPr>
        <w:pStyle w:val="Normal"/>
        <w:spacing w:before="0" w:after="60"/>
        <w:rPr>
          <w:rFonts w:ascii="Tahoma" w:hAnsi="Tahoma" w:cs="Tahoma"/>
          <w:b/>
          <w:bCs/>
        </w:rPr>
      </w:pPr>
      <w:r>
        <w:rPr>
          <w:rFonts w:cs="Tahoma" w:ascii="Tahoma" w:hAnsi="Tahoma"/>
          <w:b/>
          <w:bCs/>
        </w:rPr>
        <w:t>Groups who support this bill include:</w:t>
      </w:r>
    </w:p>
    <w:p>
      <w:pPr>
        <w:sectPr>
          <w:type w:val="nextPage"/>
          <w:pgSz w:w="12240" w:h="15840"/>
          <w:pgMar w:left="1152" w:right="1152" w:gutter="0" w:header="0" w:top="1152" w:footer="0" w:bottom="1152"/>
          <w:pgNumType w:fmt="decimal"/>
          <w:formProt w:val="false"/>
          <w:textDirection w:val="lrTb"/>
          <w:docGrid w:type="default" w:linePitch="360" w:charSpace="0"/>
        </w:sectPr>
      </w:pP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Alliance for Retail Energy Markets (AReM)</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California Chamber of Commerce</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California Retailers Association</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California Manufacturers &amp; Technology Association</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California Large Energy Consumers Association</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Building Owners &amp; Managers Association of California</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Green Mountain Energy Company</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AES NewEnergy</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School Project for Utility Rate Reduction</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California Farm Bureau</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Commonwealth Energy</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California Grocers Association</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Strategic Energy</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California Healthcare Association</w:t>
      </w:r>
    </w:p>
    <w:p>
      <w:pPr>
        <w:pStyle w:val="Normal"/>
        <w:numPr>
          <w:ilvl w:val="0"/>
          <w:numId w:val="4"/>
        </w:numPr>
        <w:tabs>
          <w:tab w:val="clear" w:pos="720"/>
          <w:tab w:val="left" w:pos="540" w:leader="none"/>
        </w:tabs>
        <w:ind w:hanging="360" w:start="540" w:end="0"/>
        <w:rPr>
          <w:rFonts w:ascii="Tahoma" w:hAnsi="Tahoma" w:cs="Tahoma"/>
        </w:rPr>
      </w:pPr>
      <w:r>
        <w:rPr>
          <w:rFonts w:cs="Tahoma" w:ascii="Tahoma" w:hAnsi="Tahoma"/>
        </w:rPr>
        <w:t>California Restaurant Association</w:t>
      </w:r>
    </w:p>
    <w:p>
      <w:pPr>
        <w:sectPr>
          <w:type w:val="continuous"/>
          <w:pgSz w:w="12240" w:h="15840"/>
          <w:pgMar w:left="1152" w:right="1152" w:gutter="0" w:header="0" w:top="1152" w:footer="0" w:bottom="1152"/>
          <w:cols w:num="2" w:space="708" w:equalWidth="true" w:sep="false"/>
          <w:formProt w:val="false"/>
          <w:textDirection w:val="lrTb"/>
          <w:docGrid w:type="default" w:linePitch="360" w:charSpace="0"/>
        </w:sectPr>
      </w:pP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ind w:start="360" w:end="0"/>
        <w:rPr>
          <w:rFonts w:ascii="Tahoma" w:hAnsi="Tahoma" w:cs="Tahoma"/>
        </w:rPr>
      </w:pPr>
      <w:r>
        <w:rPr>
          <w:rFonts w:cs="Tahoma" w:ascii="Tahoma" w:hAnsi="Tahoma"/>
        </w:rPr>
      </w:r>
    </w:p>
    <w:sectPr>
      <w:type w:val="continuous"/>
      <w:pgSz w:w="12240" w:h="15840"/>
      <w:pgMar w:left="1152" w:right="1152" w:gutter="0" w:header="0" w:top="1152" w:footer="0" w:bottom="115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240"/>
        </w:tabs>
        <w:ind w:start="3240" w:hanging="360"/>
      </w:pPr>
      <w:rPr>
        <w:rFonts w:ascii="Wingdings" w:hAnsi="Wingdings" w:cs="Wingdings" w:hint="default"/>
        <w:sz w:val="18"/>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Wingdings" w:hAnsi="Wingdings" w:cs="Wingdings"/>
      <w:sz w:val="1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Tahoma" w:hAnsi="Tahoma" w:cs="Tahoma"/>
    </w:rPr>
  </w:style>
  <w:style w:type="paragraph" w:styleId="BodyTextIndent2">
    <w:name w:val="Body Text Indent 2"/>
    <w:basedOn w:val="Normal"/>
    <w:qFormat/>
    <w:pPr>
      <w:ind w:hanging="0" w:start="360" w:end="0"/>
    </w:pPr>
    <w:rPr>
      <w:rFonts w:ascii="Tahoma" w:hAnsi="Tahoma" w:cs="Tahoma"/>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2001-02-27T23:48:00Z</dcterms:created>
  <dc:creator>edelman</dc:creator>
  <dc:description/>
  <dc:language>en-CA</dc:language>
  <cp:lastModifiedBy>Edelman</cp:lastModifiedBy>
  <cp:lastPrinted>2001-02-21T10:53:00Z</cp:lastPrinted>
  <dcterms:modified xsi:type="dcterms:W3CDTF">2001-02-27T23:48:00Z</dcterms:modified>
  <cp:revision>2</cp:revision>
  <dc:subject/>
  <dc:title>-</dc:title>
</cp:coreProperties>
</file>