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ahoma" w:hAnsi="Tahoma" w:cs="Tahoma"/>
        </w:rPr>
      </w:pPr>
      <w:r>
        <w:drawing>
          <wp:anchor behindDoc="0" distT="0" distB="0" distL="114935" distR="114935" simplePos="0" locked="0" layoutInCell="0" allowOverlap="1" relativeHeight="5">
            <wp:simplePos x="0" y="0"/>
            <wp:positionH relativeFrom="column">
              <wp:posOffset>0</wp:posOffset>
            </wp:positionH>
            <wp:positionV relativeFrom="paragraph">
              <wp:posOffset>-548640</wp:posOffset>
            </wp:positionV>
            <wp:extent cx="1280160" cy="10261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3" r="-11" b="-13"/>
                    <a:stretch>
                      <a:fillRect/>
                    </a:stretch>
                  </pic:blipFill>
                  <pic:spPr bwMode="auto">
                    <a:xfrm>
                      <a:off x="0" y="0"/>
                      <a:ext cx="1280160" cy="1026160"/>
                    </a:xfrm>
                    <a:prstGeom prst="rect">
                      <a:avLst/>
                    </a:prstGeom>
                    <a:noFill/>
                  </pic:spPr>
                </pic:pic>
              </a:graphicData>
            </a:graphic>
          </wp:anchor>
        </w:drawing>
      </w:r>
      <w:r>
        <w:rPr>
          <w:rFonts w:eastAsia="Tahoma" w:cs="Tahoma" w:ascii="Tahoma" w:hAnsi="Tahoma"/>
          <w:b/>
        </w:rPr>
        <w:t xml:space="preserve"> </w:t>
      </w:r>
    </w:p>
    <w:p>
      <w:pPr>
        <w:pStyle w:val="BodyText"/>
        <w:rPr>
          <w:smallCaps/>
          <w:sz w:val="36"/>
        </w:rPr>
      </w:pPr>
      <w:r>
        <w:rPr>
          <w:smallCaps/>
          <w:sz w:val="36"/>
        </w:rPr>
        <w:t>Fact Sheet</w:t>
      </w:r>
    </w:p>
    <w:p>
      <w:pPr>
        <w:pStyle w:val="BodyText"/>
        <w:rPr>
          <w:smallCaps/>
          <w:sz w:val="28"/>
        </w:rPr>
      </w:pPr>
      <w:r>
        <w:rPr>
          <w:smallCaps/>
          <w:sz w:val="28"/>
        </w:rPr>
      </w:r>
    </w:p>
    <w:p>
      <w:pPr>
        <w:pStyle w:val="BodyText"/>
        <w:jc w:val="start"/>
        <w:rPr>
          <w:i/>
          <w:i/>
          <w:sz w:val="20"/>
        </w:rPr>
      </w:pPr>
      <w:r>
        <w:rPr>
          <w:i/>
          <w:sz w:val="20"/>
        </w:rPr>
        <w:t xml:space="preserve">When California restructured its electricity markets in 1996, it neglected to address the development of healthy, competitive retail markets. What follows are a number of facts that support AReM’s objective to promote competition in California’s retail electricity market.  This kind of competition can directly benefit consumers. </w:t>
      </w:r>
    </w:p>
    <w:p>
      <w:pPr>
        <w:pStyle w:val="Normal"/>
        <w:rPr>
          <w:rFonts w:ascii="Tahoma" w:hAnsi="Tahoma" w:cs="Tahoma"/>
          <w:i/>
          <w:i/>
          <w:sz w:val="20"/>
        </w:rPr>
      </w:pPr>
      <w:r>
        <w:rPr>
          <w:rFonts w:cs="Tahoma" w:ascii="Tahoma" w:hAnsi="Tahoma"/>
          <w:i/>
          <w:sz w:val="20"/>
        </w:rPr>
      </w:r>
    </w:p>
    <w:p>
      <w:pPr>
        <w:pStyle w:val="Normal"/>
        <w:numPr>
          <w:ilvl w:val="0"/>
          <w:numId w:val="2"/>
        </w:numPr>
        <w:rPr>
          <w:rFonts w:ascii="Tahoma" w:hAnsi="Tahoma" w:cs="Tahoma"/>
        </w:rPr>
      </w:pPr>
      <w:r>
        <w:rPr>
          <w:rFonts w:cs="Tahoma" w:ascii="Tahoma" w:hAnsi="Tahoma"/>
          <w:b/>
        </w:rPr>
        <w:t>The fundamental problem with the current California energy market is that wholesale supply is not aligned with demand.</w:t>
      </w:r>
      <w:r>
        <w:rPr>
          <w:rFonts w:cs="Tahoma" w:ascii="Tahoma" w:hAnsi="Tahoma"/>
        </w:rPr>
        <w:t xml:space="preserve"> Until this basic issue is resolved, the electricity shortfall in the state will remain. Without a balance between supply and demand, the wholesale and retail markets cannot work for the consumer, utilities, or energy service providers (ESPs).</w:t>
      </w:r>
    </w:p>
    <w:p>
      <w:pPr>
        <w:pStyle w:val="Normal"/>
        <w:rPr>
          <w:rFonts w:ascii="Tahoma" w:hAnsi="Tahoma" w:cs="Tahoma"/>
        </w:rPr>
      </w:pPr>
      <w:r>
        <w:rPr>
          <w:rFonts w:cs="Tahoma" w:ascii="Tahoma" w:hAnsi="Tahoma"/>
        </w:rPr>
      </w:r>
    </w:p>
    <w:p>
      <w:pPr>
        <w:pStyle w:val="Normal"/>
        <w:numPr>
          <w:ilvl w:val="0"/>
          <w:numId w:val="10"/>
        </w:numPr>
        <w:rPr>
          <w:rFonts w:ascii="Tahoma" w:hAnsi="Tahoma" w:cs="Tahoma"/>
        </w:rPr>
      </w:pPr>
      <w:r>
        <w:rPr>
          <w:rFonts w:cs="Tahoma" w:ascii="Tahoma" w:hAnsi="Tahoma"/>
          <w:b/>
        </w:rPr>
        <w:t>Deregulation per se is not the culprit in this crisis</w:t>
      </w:r>
      <w:r>
        <w:rPr>
          <w:rFonts w:cs="Tahoma" w:ascii="Tahoma" w:hAnsi="Tahoma"/>
        </w:rPr>
        <w:t>. California’s unique implementation of partial deregulation is the culprit.  The poor design of California’s wholesale market structure, the state’s over-reliance on purchases in the spot market and its hostility to retail competition all exacerbated the underlying problem into the current crisis. In order for the consumer to enjoy stable or lower prices, the entire system by which electricity is produced, delivered and used must be improved and better managed.</w:t>
      </w:r>
    </w:p>
    <w:p>
      <w:pPr>
        <w:pStyle w:val="Normal"/>
        <w:rPr>
          <w:rFonts w:ascii="Tahoma" w:hAnsi="Tahoma" w:cs="Tahoma"/>
          <w:b/>
        </w:rPr>
      </w:pPr>
      <w:r>
        <w:rPr>
          <w:rFonts w:cs="Tahoma" w:ascii="Tahoma" w:hAnsi="Tahoma"/>
          <w:b/>
        </w:rPr>
      </w:r>
    </w:p>
    <w:p>
      <w:pPr>
        <w:pStyle w:val="Normal"/>
        <w:numPr>
          <w:ilvl w:val="0"/>
          <w:numId w:val="4"/>
        </w:numPr>
        <w:rPr>
          <w:rFonts w:ascii="Tahoma" w:hAnsi="Tahoma" w:cs="Tahoma"/>
        </w:rPr>
      </w:pPr>
      <w:r>
        <w:rPr>
          <w:rFonts w:cs="Tahoma" w:ascii="Tahoma" w:hAnsi="Tahoma"/>
          <w:b/>
        </w:rPr>
        <w:t>The current market design does not promote competition in retail markets.</w:t>
      </w:r>
      <w:r>
        <w:rPr>
          <w:rFonts w:cs="Tahoma" w:ascii="Tahoma" w:hAnsi="Tahoma"/>
        </w:rPr>
        <w:t xml:space="preserve"> Because of poor market design and regulations approved by the Public Utilities Commission, it has been difficult for ESPs to enter into and compete in the California retail market. Today’s retail market rules provide great advantages to incumbent utilities and create significant barriers to entry for any additional providers, thereby stunting retail competition. For example:</w:t>
      </w:r>
    </w:p>
    <w:p>
      <w:pPr>
        <w:pStyle w:val="Normal"/>
        <w:ind w:start="360" w:end="0"/>
        <w:rPr>
          <w:rFonts w:ascii="Tahoma" w:hAnsi="Tahoma" w:cs="Tahoma"/>
        </w:rPr>
      </w:pPr>
      <w:r>
        <w:rPr>
          <w:rFonts w:cs="Tahoma" w:ascii="Tahoma" w:hAnsi="Tahoma"/>
        </w:rPr>
      </w:r>
    </w:p>
    <w:p>
      <w:pPr>
        <w:pStyle w:val="Normal"/>
        <w:numPr>
          <w:ilvl w:val="0"/>
          <w:numId w:val="5"/>
        </w:numPr>
        <w:tabs>
          <w:tab w:val="left" w:pos="720" w:leader="none"/>
        </w:tabs>
        <w:ind w:hanging="360" w:start="720" w:end="0"/>
        <w:rPr>
          <w:rFonts w:ascii="Tahoma" w:hAnsi="Tahoma" w:cs="Tahoma"/>
        </w:rPr>
      </w:pPr>
      <w:r>
        <w:rPr>
          <w:rFonts w:cs="Tahoma" w:ascii="Tahoma" w:hAnsi="Tahoma"/>
        </w:rPr>
        <w:t>One competitor (the utility) controls bottleneck facilities through which all other competitors must pass - the distribution system and customer enrollment process.</w:t>
      </w:r>
    </w:p>
    <w:p>
      <w:pPr>
        <w:pStyle w:val="Normal"/>
        <w:ind w:start="360" w:end="0"/>
        <w:rPr>
          <w:rFonts w:ascii="Tahoma" w:hAnsi="Tahoma" w:cs="Tahoma"/>
        </w:rPr>
      </w:pPr>
      <w:r>
        <w:rPr>
          <w:rFonts w:cs="Tahoma" w:ascii="Tahoma" w:hAnsi="Tahoma"/>
        </w:rPr>
      </w:r>
    </w:p>
    <w:p>
      <w:pPr>
        <w:pStyle w:val="Normal"/>
        <w:numPr>
          <w:ilvl w:val="0"/>
          <w:numId w:val="5"/>
        </w:numPr>
        <w:tabs>
          <w:tab w:val="left" w:pos="720" w:leader="none"/>
        </w:tabs>
        <w:ind w:hanging="360" w:start="720" w:end="0"/>
        <w:rPr>
          <w:rFonts w:ascii="Tahoma" w:hAnsi="Tahoma" w:cs="Tahoma"/>
        </w:rPr>
      </w:pPr>
      <w:r>
        <w:rPr>
          <w:rFonts w:cs="Tahoma" w:ascii="Tahoma" w:hAnsi="Tahoma"/>
        </w:rPr>
        <w:t>One competitor (the utility) cross-subsidizes its retail activities through non-bypassable charges on its monopoly distribution service.  Comparable subsidies are not available to other competitors.</w:t>
      </w:r>
    </w:p>
    <w:p>
      <w:pPr>
        <w:pStyle w:val="Normal"/>
        <w:ind w:start="360" w:end="0"/>
        <w:rPr>
          <w:rFonts w:ascii="Tahoma" w:hAnsi="Tahoma" w:cs="Tahoma"/>
        </w:rPr>
      </w:pPr>
      <w:r>
        <w:rPr>
          <w:rFonts w:cs="Tahoma" w:ascii="Tahoma" w:hAnsi="Tahoma"/>
        </w:rPr>
      </w:r>
    </w:p>
    <w:p>
      <w:pPr>
        <w:pStyle w:val="Normal"/>
        <w:numPr>
          <w:ilvl w:val="0"/>
          <w:numId w:val="5"/>
        </w:numPr>
        <w:tabs>
          <w:tab w:val="left" w:pos="720" w:leader="none"/>
        </w:tabs>
        <w:ind w:hanging="360" w:start="720" w:end="0"/>
        <w:rPr>
          <w:rFonts w:ascii="Tahoma" w:hAnsi="Tahoma" w:cs="Tahoma"/>
        </w:rPr>
      </w:pPr>
      <w:r>
        <w:rPr>
          <w:rFonts w:cs="Tahoma" w:ascii="Tahoma" w:hAnsi="Tahoma"/>
        </w:rPr>
        <w:t>One competitor (the utility) starts out with 100% of the customers.</w:t>
      </w:r>
    </w:p>
    <w:p>
      <w:pPr>
        <w:pStyle w:val="Normal"/>
        <w:ind w:start="360" w:end="0"/>
        <w:rPr>
          <w:rFonts w:ascii="Tahoma" w:hAnsi="Tahoma" w:cs="Tahoma"/>
        </w:rPr>
      </w:pPr>
      <w:r>
        <w:rPr>
          <w:rFonts w:cs="Tahoma" w:ascii="Tahoma" w:hAnsi="Tahoma"/>
        </w:rPr>
      </w:r>
    </w:p>
    <w:p>
      <w:pPr>
        <w:pStyle w:val="Normal"/>
        <w:numPr>
          <w:ilvl w:val="0"/>
          <w:numId w:val="5"/>
        </w:numPr>
        <w:tabs>
          <w:tab w:val="left" w:pos="720" w:leader="none"/>
        </w:tabs>
        <w:ind w:hanging="360" w:start="720" w:end="0"/>
        <w:rPr>
          <w:rFonts w:ascii="Tahoma" w:hAnsi="Tahoma" w:cs="Tahoma"/>
        </w:rPr>
      </w:pPr>
      <w:r>
        <w:rPr>
          <w:rFonts w:cs="Tahoma" w:ascii="Tahoma" w:hAnsi="Tahoma"/>
        </w:rPr>
        <w:t>One competitor (the utility) is automatically assigned all new customers that move into the state.</w:t>
      </w:r>
    </w:p>
    <w:p>
      <w:pPr>
        <w:pStyle w:val="Normal"/>
        <w:rPr>
          <w:rFonts w:ascii="Tahoma" w:hAnsi="Tahoma" w:cs="Tahoma"/>
        </w:rPr>
      </w:pPr>
      <w:r>
        <w:rPr>
          <w:rFonts w:cs="Tahoma" w:ascii="Tahoma" w:hAnsi="Tahoma"/>
        </w:rPr>
      </w:r>
    </w:p>
    <w:p>
      <w:pPr>
        <w:pStyle w:val="Normal"/>
        <w:numPr>
          <w:ilvl w:val="0"/>
          <w:numId w:val="5"/>
        </w:numPr>
        <w:tabs>
          <w:tab w:val="left" w:pos="720" w:leader="none"/>
        </w:tabs>
        <w:ind w:hanging="360" w:start="720" w:end="0"/>
        <w:rPr>
          <w:rFonts w:ascii="Tahoma" w:hAnsi="Tahoma" w:cs="Tahoma"/>
        </w:rPr>
      </w:pPr>
      <w:r>
        <w:rPr>
          <w:rFonts w:cs="Tahoma" w:ascii="Tahoma" w:hAnsi="Tahoma"/>
        </w:rPr>
        <w:t>In order for large customers to switch to an alternative supplier, the customer must buy and pay for an expensive meter upgrade.  No such upgrade is required to stay with the utility.</w:t>
      </w:r>
    </w:p>
    <w:p>
      <w:pPr>
        <w:pStyle w:val="Normal"/>
        <w:ind w:start="360" w:end="0"/>
        <w:rPr>
          <w:rFonts w:ascii="Tahoma" w:hAnsi="Tahoma" w:cs="Tahoma"/>
        </w:rPr>
      </w:pPr>
      <w:r>
        <w:rPr>
          <w:rFonts w:cs="Tahoma" w:ascii="Tahoma" w:hAnsi="Tahoma"/>
        </w:rPr>
      </w:r>
    </w:p>
    <w:p>
      <w:pPr>
        <w:pStyle w:val="Normal"/>
        <w:numPr>
          <w:ilvl w:val="0"/>
          <w:numId w:val="9"/>
        </w:numPr>
        <w:rPr>
          <w:rFonts w:ascii="Tahoma" w:hAnsi="Tahoma" w:cs="Tahoma"/>
        </w:rPr>
      </w:pPr>
      <w:r>
        <w:rPr>
          <w:rFonts w:cs="Tahoma" w:ascii="Tahoma" w:hAnsi="Tahoma"/>
          <w:b/>
        </w:rPr>
        <w:t>California’s energy market is only partially deregulated.</w:t>
      </w:r>
      <w:r>
        <w:rPr>
          <w:rFonts w:cs="Tahoma" w:ascii="Tahoma" w:hAnsi="Tahoma"/>
        </w:rPr>
        <w:t xml:space="preserve"> To date, California’s restructuring has largely been on the wholesale level.  California has not yet put in place the kinds of protections and regulations needed to encourage competition or competitive entry at the retail level.</w:t>
      </w:r>
    </w:p>
    <w:p>
      <w:pPr>
        <w:pStyle w:val="Normal"/>
        <w:rPr>
          <w:rFonts w:ascii="Tahoma" w:hAnsi="Tahoma" w:cs="Tahoma"/>
        </w:rPr>
      </w:pPr>
      <w:r>
        <w:rPr>
          <w:rFonts w:cs="Tahoma" w:ascii="Tahoma" w:hAnsi="Tahoma"/>
        </w:rPr>
      </w:r>
    </w:p>
    <w:p>
      <w:pPr>
        <w:pStyle w:val="Normal"/>
        <w:numPr>
          <w:ilvl w:val="0"/>
          <w:numId w:val="3"/>
        </w:numPr>
        <w:rPr>
          <w:rFonts w:ascii="Tahoma" w:hAnsi="Tahoma" w:cs="Tahoma"/>
        </w:rPr>
      </w:pPr>
      <w:r>
        <w:rPr>
          <w:rFonts w:cs="Tahoma" w:ascii="Tahoma" w:hAnsi="Tahoma"/>
          <w:b/>
        </w:rPr>
        <w:t>Though still a small market, retail competition is already working.</w:t>
      </w:r>
      <w:r>
        <w:rPr>
          <w:rFonts w:cs="Tahoma" w:ascii="Tahoma" w:hAnsi="Tahoma"/>
        </w:rPr>
        <w:t xml:space="preserve"> Approximately 187,000 California consumers have already benefited from competition in retail energy markets and millions more deserve the opportunity to do the same. Last summer in San Diego, many consumers who chose an alternative ESP – rather than their local utility – saw their rates remain stabile as their neighbor’s utility rates skyrocketed. However, California regulations governing the retail markets must be substantially revamped if we are to see meaningful retail competition in other parts of this state.  </w:t>
      </w:r>
    </w:p>
    <w:p>
      <w:pPr>
        <w:pStyle w:val="Normal"/>
        <w:rPr>
          <w:rFonts w:ascii="Tahoma" w:hAnsi="Tahoma" w:cs="Tahoma"/>
        </w:rPr>
      </w:pPr>
      <w:r>
        <w:rPr>
          <w:rFonts w:cs="Tahoma" w:ascii="Tahoma" w:hAnsi="Tahoma"/>
        </w:rPr>
      </w:r>
    </w:p>
    <w:p>
      <w:pPr>
        <w:pStyle w:val="Normal"/>
        <w:numPr>
          <w:ilvl w:val="0"/>
          <w:numId w:val="3"/>
        </w:numPr>
        <w:rPr>
          <w:rFonts w:ascii="Tahoma" w:hAnsi="Tahoma" w:cs="Tahoma"/>
        </w:rPr>
      </w:pPr>
      <w:r>
        <w:rPr>
          <w:rFonts w:cs="Tahoma" w:ascii="Tahoma" w:hAnsi="Tahoma"/>
          <w:b/>
        </w:rPr>
        <w:t>Retail competition benefits the consumer.</w:t>
      </w:r>
      <w:r>
        <w:rPr>
          <w:rFonts w:cs="Tahoma" w:ascii="Tahoma" w:hAnsi="Tahoma"/>
        </w:rPr>
        <w:t xml:space="preserve"> The US Department of Energy has projected that full retail competition will save American consumers about $20 billion a year. This means an average of $232 from the average annual electric utility bill for a family of four, which is the equivalent of a 5 percent tax cut. </w:t>
      </w:r>
      <w:r>
        <w:rPr>
          <w:rStyle w:val="EndnoteCharacters"/>
          <w:rStyle w:val="EndnoteReference"/>
          <w:rFonts w:cs="Tahoma" w:ascii="Tahoma" w:hAnsi="Tahoma"/>
        </w:rPr>
        <w:endnoteReference w:id="2"/>
      </w:r>
      <w:r>
        <w:rPr>
          <w:rFonts w:cs="Tahoma" w:ascii="Tahoma" w:hAnsi="Tahoma"/>
        </w:rPr>
        <w:t xml:space="preserve"> Competitive retail markets will put electricity choice in the hands of the consumer and will give them the opportunity to make their own decisions about the best way to spend their energy dollars. Competition will also stabilize rates by minimizing price volatility.</w:t>
      </w:r>
    </w:p>
    <w:p>
      <w:pPr>
        <w:pStyle w:val="Normal"/>
        <w:rPr>
          <w:rFonts w:ascii="Tahoma" w:hAnsi="Tahoma" w:cs="Tahoma"/>
        </w:rPr>
      </w:pPr>
      <w:r>
        <w:rPr>
          <w:rFonts w:cs="Tahoma" w:ascii="Tahoma" w:hAnsi="Tahoma"/>
        </w:rPr>
      </w:r>
    </w:p>
    <w:p>
      <w:pPr>
        <w:pStyle w:val="Normal"/>
        <w:numPr>
          <w:ilvl w:val="0"/>
          <w:numId w:val="8"/>
        </w:numPr>
        <w:rPr>
          <w:rFonts w:ascii="Tahoma" w:hAnsi="Tahoma" w:cs="Tahoma"/>
        </w:rPr>
      </w:pPr>
      <w:r>
        <w:rPr>
          <w:rFonts w:cs="Tahoma" w:ascii="Tahoma" w:hAnsi="Tahoma"/>
          <w:b/>
        </w:rPr>
        <w:t>Competitive retail markets will benefit the statewide economy</w:t>
      </w:r>
      <w:r>
        <w:rPr>
          <w:rFonts w:cs="Tahoma" w:ascii="Tahoma" w:hAnsi="Tahoma"/>
        </w:rPr>
        <w:t>. Competition within retail electricity markets supports a strong economy by stabilizing energy costs and giving large and small consumers the ability to choose the power supplier and usage options that best suits their preferences and unique needs. Open markets help attract power-generation investment and retain businesses. These, in turn, build the local tax base and enhance economic growth.</w:t>
      </w:r>
    </w:p>
    <w:p>
      <w:pPr>
        <w:pStyle w:val="Normal"/>
        <w:rPr>
          <w:rFonts w:ascii="Tahoma" w:hAnsi="Tahoma" w:cs="Tahoma"/>
        </w:rPr>
      </w:pPr>
      <w:r>
        <w:rPr>
          <w:rFonts w:cs="Tahoma" w:ascii="Tahoma" w:hAnsi="Tahoma"/>
        </w:rPr>
      </w:r>
    </w:p>
    <w:p>
      <w:pPr>
        <w:pStyle w:val="Normal"/>
        <w:numPr>
          <w:ilvl w:val="0"/>
          <w:numId w:val="7"/>
        </w:numPr>
        <w:rPr>
          <w:rFonts w:ascii="Tahoma" w:hAnsi="Tahoma" w:cs="Tahoma"/>
        </w:rPr>
      </w:pPr>
      <w:r>
        <w:rPr>
          <w:rFonts w:cs="Tahoma" w:ascii="Tahoma" w:hAnsi="Tahoma"/>
          <w:b/>
        </w:rPr>
        <w:t>Consumer education is key.</w:t>
      </w:r>
      <w:r>
        <w:rPr>
          <w:rFonts w:cs="Tahoma" w:ascii="Tahoma" w:hAnsi="Tahoma"/>
        </w:rPr>
        <w:t xml:space="preserve"> Consumers must become educated about their power to choose an alternative service provider and the benefits that can result. Consumers must also be encouraged to become active participants in reducing and moving their consumption from peak demand times to off-peak demand. As we prepare for new generation to come online, both large and small consumers must be constantly alerted to the need for conservation of energy resources.</w:t>
      </w:r>
    </w:p>
    <w:p>
      <w:pPr>
        <w:pStyle w:val="Normal"/>
        <w:rPr>
          <w:rFonts w:ascii="Tahoma" w:hAnsi="Tahoma" w:eastAsia="Tahoma" w:cs="Tahoma"/>
        </w:rPr>
      </w:pPr>
      <w:r>
        <w:rPr>
          <w:rFonts w:eastAsia="Tahoma" w:cs="Tahoma" w:ascii="Tahoma" w:hAnsi="Tahoma"/>
        </w:rPr>
        <w:t xml:space="preserve"> </w:t>
      </w:r>
    </w:p>
    <w:p>
      <w:pPr>
        <w:pStyle w:val="Normal"/>
        <w:numPr>
          <w:ilvl w:val="0"/>
          <w:numId w:val="1"/>
        </w:numPr>
        <w:rPr>
          <w:rFonts w:ascii="Tahoma" w:hAnsi="Tahoma" w:cs="Tahoma"/>
          <w:b/>
        </w:rPr>
      </w:pPr>
      <w:r>
        <w:rPr>
          <w:rFonts w:cs="Tahoma" w:ascii="Tahoma" w:hAnsi="Tahoma"/>
          <w:b/>
        </w:rPr>
        <w:t xml:space="preserve">Retail energy markets are working in other states.  </w:t>
      </w:r>
      <w:r>
        <w:rPr>
          <w:rFonts w:cs="Tahoma" w:ascii="Tahoma" w:hAnsi="Tahoma"/>
        </w:rPr>
        <w:t>A recent newsletter from a non-profit energy and environmental group in Pennsylvania reported that since a competitive retail electric market was instituted in 1997, 568,000 customers had chosen an alternative supplier and had saved $2.84 billion cumulatively.  They also note that licensed competitors now supply about 25% of the electricity used in Pennsylvania at prices that are typically 0.9 to 3.15 cents per kWh less than what residential consumers were paying utilities for generation prior to deregulation.</w:t>
      </w:r>
      <w:r>
        <w:rPr>
          <w:rStyle w:val="EndnoteCharacters"/>
          <w:rStyle w:val="EndnoteReference"/>
          <w:rFonts w:cs="Tahoma" w:ascii="Tahoma" w:hAnsi="Tahoma"/>
        </w:rPr>
        <w:endnoteReference w:id="3"/>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LFBlockIndentAltss"/>
        <w:numPr>
          <w:ilvl w:val="0"/>
          <w:numId w:val="6"/>
        </w:numPr>
        <w:rPr>
          <w:rFonts w:ascii="Tahoma" w:hAnsi="Tahoma" w:cs="Tahoma"/>
        </w:rPr>
      </w:pPr>
      <w:r>
        <w:rPr>
          <w:rFonts w:cs="Tahoma" w:ascii="Tahoma" w:hAnsi="Tahoma"/>
          <w:b/>
        </w:rPr>
        <w:t>Default service does not necessarily have to be provided by the incumbent utility.</w:t>
      </w:r>
      <w:r>
        <w:rPr>
          <w:rFonts w:cs="Tahoma" w:ascii="Tahoma" w:hAnsi="Tahoma"/>
        </w:rPr>
        <w:t xml:space="preserve"> It is time for policy makers to support alternate default service providers stepping in to provide fixed price security to California consumers.  Competitive default service has been successful in other states, most notably in the retail electricity markets of Pennsylvania and Georgia’s natural gas market. Pennsylvania Electric Company (PECO) recently bid out 300,000 default customers in a competitive process overseen by the Pennsylvania Public Utilities Commission. The New Power Company, an AReM coalition member, won that bid. These programs protect customers through known, fixed prices arranged with default service providers who have registered and qualified as fully creditworthy entities subject to state consumer protection requirements.</w:t>
      </w:r>
    </w:p>
    <w:p>
      <w:pPr>
        <w:pStyle w:val="Normal"/>
        <w:rPr/>
      </w:pPr>
      <w:r>
        <w:rPr/>
        <w:t xml:space="preserve"> </w:t>
      </w:r>
    </w:p>
    <w:sectPr>
      <w:footerReference w:type="default" r:id="rId3"/>
      <w:endnotePr>
        <w:pos w:val="sectEnd"/>
        <w:numFmt w:val="lowerRoman"/>
      </w:endnotePr>
      <w:type w:val="nextPage"/>
      <w:pgSz w:w="12240" w:h="15840"/>
      <w:pgMar w:left="1152" w:right="1152" w:gutter="0" w:header="0" w:top="1152" w:footer="720" w:bottom="1152"/>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rFonts w:cs="Tahoma" w:ascii="Tahoma" w:hAnsi="Tahoma"/>
        </w:rPr>
        <w:t xml:space="preserve"> “</w:t>
      </w:r>
      <w:r>
        <w:rPr>
          <w:rFonts w:cs="Tahoma" w:ascii="Tahoma" w:hAnsi="Tahoma"/>
          <w:i/>
        </w:rPr>
        <w:t>Retail Electric Competition: Getting it Right</w:t>
      </w:r>
      <w:r>
        <w:rPr>
          <w:rFonts w:cs="Tahoma" w:ascii="Tahoma" w:hAnsi="Tahoma"/>
          <w:u w:val="single"/>
        </w:rPr>
        <w:t>,,”</w:t>
      </w:r>
      <w:r>
        <w:rPr>
          <w:rFonts w:cs="Tahoma" w:ascii="Tahoma" w:hAnsi="Tahoma"/>
        </w:rPr>
        <w:t xml:space="preserve"> by the Electric Power Supply Association,  2001 Edition.</w:t>
      </w:r>
    </w:p>
  </w:endnote>
  <w:endnote w:id="3">
    <w:p>
      <w:pPr>
        <w:pStyle w:val="EndnoteText"/>
        <w:rPr/>
      </w:pPr>
      <w:r>
        <w:rPr>
          <w:rStyle w:val="EndnoteCharacters"/>
        </w:rPr>
        <w:endnoteRef/>
      </w:r>
      <w:r>
        <w:rPr>
          <w:rFonts w:cs="Tahoma" w:ascii="Tahoma" w:hAnsi="Tahoma"/>
        </w:rPr>
        <w:t xml:space="preserve"> </w:t>
      </w:r>
      <w:r>
        <w:rPr>
          <w:rFonts w:cs="Tahoma" w:ascii="Tahoma" w:hAnsi="Tahoma"/>
        </w:rPr>
        <w:t xml:space="preserve">Pennfuture’s </w:t>
      </w:r>
      <w:r>
        <w:rPr>
          <w:rFonts w:cs="Tahoma" w:ascii="Tahoma" w:hAnsi="Tahoma"/>
          <w:i/>
        </w:rPr>
        <w:t>E-cubed,</w:t>
      </w:r>
      <w:r>
        <w:rPr>
          <w:rFonts w:cs="Tahoma" w:ascii="Tahoma" w:hAnsi="Tahoma"/>
        </w:rPr>
        <w:t xml:space="preserve"> Vol.3, No.2, January 18, 2001</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ahoma" w:hAnsi="Tahoma" w:cs="Tahoma"/>
        <w:sz w:val="20"/>
        <w:lang w:eastAsia="en-US"/>
      </w:rPr>
    </w:pPr>
    <w:r>
      <mc:AlternateContent>
        <mc:Choice Requires="wps">
          <w:drawing>
            <wp:anchor behindDoc="1" distT="0" distB="0" distL="114935" distR="114935" simplePos="0" locked="0" layoutInCell="1" allowOverlap="1" relativeHeight="4">
              <wp:simplePos x="0" y="0"/>
              <wp:positionH relativeFrom="column">
                <wp:posOffset>0</wp:posOffset>
              </wp:positionH>
              <wp:positionV relativeFrom="paragraph">
                <wp:posOffset>-59055</wp:posOffset>
              </wp:positionV>
              <wp:extent cx="2103120" cy="0"/>
              <wp:effectExtent l="0" t="5080" r="0" b="5080"/>
              <wp:wrapNone/>
              <wp:docPr id="2" name=""/>
              <a:graphic xmlns:a="http://schemas.openxmlformats.org/drawingml/2006/main">
                <a:graphicData uri="http://schemas.microsoft.com/office/word/2010/wordprocessingShape">
                  <wps:wsp>
                    <wps:cNvSpPr/>
                    <wps:spPr>
                      <a:xfrm>
                        <a:off x="0" y="0"/>
                        <a:ext cx="2103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65pt" to="165.55pt,-4.65pt" stroked="t" o:allowincell="f" style="position:absolute">
              <v:stroke color="black" weight="9360" joinstyle="miter" endcap="flat"/>
              <v:fill o:detectmouseclick="t" on="false"/>
              <w10:wrap type="none"/>
            </v:line>
          </w:pict>
        </mc:Fallback>
      </mc:AlternateContent>
    </w:r>
    <w:r>
      <w:rPr>
        <w:rFonts w:cs="Tahoma" w:ascii="Tahoma" w:hAnsi="Tahoma"/>
        <w:sz w:val="20"/>
        <w:lang w:eastAsia="en-US"/>
      </w:rPr>
      <w:t xml:space="preserve">AReM Fact Sheet </w:t>
    </w:r>
  </w:p>
  <w:p>
    <w:pPr>
      <w:pStyle w:val="Footer"/>
      <w:rPr/>
    </w:pPr>
    <w:r>
      <w:rPr>
        <w:rFonts w:cs="Tahoma" w:ascii="Tahoma" w:hAnsi="Tahoma"/>
        <w:sz w:val="20"/>
        <w:lang w:eastAsia="en-US"/>
      </w:rPr>
      <w:t xml:space="preserve">Page </w:t>
    </w:r>
    <w:r>
      <w:rPr>
        <w:rFonts w:cs="Tahoma" w:ascii="Tahoma" w:hAnsi="Tahoma"/>
        <w:sz w:val="20"/>
        <w:lang w:eastAsia="en-US"/>
      </w:rPr>
      <w:fldChar w:fldCharType="begin"/>
    </w:r>
    <w:r>
      <w:rPr>
        <w:sz w:val="20"/>
        <w:rFonts w:cs="Tahoma" w:ascii="Tahoma" w:hAnsi="Tahoma"/>
        <w:lang w:eastAsia="en-US"/>
      </w:rPr>
      <w:instrText xml:space="preserve"> PAGE </w:instrText>
    </w:r>
    <w:r>
      <w:rPr>
        <w:sz w:val="20"/>
        <w:rFonts w:cs="Tahoma" w:ascii="Tahoma" w:hAnsi="Tahoma"/>
        <w:lang w:eastAsia="en-US"/>
      </w:rPr>
      <w:fldChar w:fldCharType="separate"/>
    </w:r>
    <w:r>
      <w:rPr>
        <w:sz w:val="20"/>
        <w:rFonts w:cs="Tahoma" w:ascii="Tahoma" w:hAnsi="Tahoma"/>
        <w:lang w:eastAsia="en-US"/>
      </w:rPr>
      <w:t>3</w:t>
    </w:r>
    <w:r>
      <w:rPr>
        <w:sz w:val="20"/>
        <w:rFonts w:cs="Tahoma" w:ascii="Tahoma" w:hAnsi="Tahoma"/>
        <w:lang w:eastAsia="en-US"/>
      </w:rPr>
      <w:fldChar w:fldCharType="end"/>
    </w:r>
    <w:r>
      <w:rPr>
        <w:rFonts w:cs="Tahoma" w:ascii="Tahoma" w:hAnsi="Tahoma"/>
        <w:sz w:val="20"/>
        <w:lang w:eastAsia="en-US"/>
      </w:rPr>
      <w:t xml:space="preserve"> of 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numFmt w:val="bullet"/>
      <w:lvlText w:val="-"/>
      <w:lvlJc w:val="start"/>
      <w:pPr>
        <w:tabs>
          <w:tab w:val="num" w:pos="420"/>
        </w:tabs>
        <w:ind w:start="420" w:hanging="360"/>
      </w:pPr>
      <w:rPr>
        <w:rFonts w:ascii="Times New Roman" w:hAnsi="Times New Roman" w:cs="Times New Roman"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66"/>
  <w:revisionView w:insDel="0" w:formatting="0"/>
  <w:defaultTabStop w:val="720"/>
  <w:autoHyphenation w:val="true"/>
  <w:hyphenationZone w:val="0"/>
  <w:endnotePr>
    <w:pos w:val="sectEnd"/>
    <w:numFmt w:val="lowerRoman"/>
    <w:endnote w:id="0"/>
    <w:endnote w:id="1"/>
  </w:end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2z0">
    <w:name w:val="WW8Num2z0"/>
    <w:qFormat/>
    <w:rPr>
      <w:rFonts w:ascii="Times New Roman" w:hAnsi="Times New Roman" w:cs="Times New Roman"/>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Times New Roman" w:hAnsi="Times New Roman" w:cs="Times New Roman"/>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Times New Roman" w:hAnsi="Times New Roman" w:cs="Times New Roman"/>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Tahoma" w:hAnsi="Tahoma" w:cs="Tahoma"/>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FBlockIndentAltss">
    <w:name w:val="LF Block Indent Alt ss"/>
    <w:basedOn w:val="Normal"/>
    <w:next w:val="Normal"/>
    <w:qFormat/>
    <w:pPr>
      <w:spacing w:before="0" w:after="240"/>
      <w:ind w:hanging="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2001-01-25T07:36:00Z</dcterms:created>
  <dc:creator>edelman</dc:creator>
  <dc:description/>
  <dc:language>en-CA</dc:language>
  <cp:lastModifiedBy>Edelma</cp:lastModifiedBy>
  <cp:lastPrinted>2001-01-24T16:49:00Z</cp:lastPrinted>
  <dcterms:modified xsi:type="dcterms:W3CDTF">2001-01-25T07:36:00Z</dcterms:modified>
  <cp:revision>2</cp:revision>
  <dc:subject/>
  <dc:title>CREC Fact Sheet</dc:title>
</cp:coreProperties>
</file>