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O:\LEGAL\JHMOORE\2000\EOL CONSENT &amp; AMENDMENT\AQUILA EOL CONSENT2.DOC</w:t>
      </w:r>
    </w:p>
    <w:p>
      <w:pPr>
        <w:pStyle w:val="Normal"/>
        <w:bidi w:val="0"/>
        <w:jc w:val="start"/>
        <w:rPr/>
      </w:pPr>
      <w:r>
        <w:rPr/>
        <w:t>and revised document: O:\LEGAL\JHMOORE\2000\EOL CONSENT &amp; AMENDMENT\AQUILA EOL CONSENT3.DOC</w:t>
      </w:r>
    </w:p>
    <w:p>
      <w:pPr>
        <w:pStyle w:val="Normal"/>
        <w:bidi w:val="0"/>
        <w:jc w:val="start"/>
        <w:rPr/>
      </w:pPr>
      <w:r>
        <w:rPr/>
      </w:r>
    </w:p>
    <w:p>
      <w:pPr>
        <w:pStyle w:val="Normal"/>
        <w:bidi w:val="0"/>
        <w:jc w:val="start"/>
        <w:rPr/>
      </w:pPr>
      <w:r>
        <w:rPr/>
        <w:t>CompareRite found        5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Underline text </w:t>
      </w:r>
      <w:r>
        <w:br w:type="page"/>
      </w:r>
    </w:p>
    <w:p>
      <w:pPr>
        <w:pStyle w:val="Title"/>
        <w:bidi w:val="0"/>
        <w:rPr>
          <w:rFonts w:ascii="Times New Roman" w:hAnsi="Times New Roman"/>
        </w:rPr>
      </w:pPr>
      <w:r>
        <w:rPr>
          <w:rFonts w:ascii="Times New Roman" w:hAnsi="Times New Roman"/>
        </w:rPr>
        <w:t>CONSENT AND AMENDMENT AGREEMENT</w:t>
      </w:r>
    </w:p>
    <w:p>
      <w:pPr>
        <w:pStyle w:val="Normal"/>
        <w:bidi w:val="0"/>
        <w:jc w:val="center"/>
        <w:rPr>
          <w:rFonts w:ascii="Times New Roman" w:hAnsi="Times New Roman"/>
        </w:rPr>
      </w:pPr>
      <w:r>
        <w:rPr>
          <w:rFonts w:ascii="Times New Roman" w:hAnsi="Times New Roman"/>
        </w:rPr>
        <w:t>(Physically and Financially Settled Natural Gas and Power Transactions)</w:t>
      </w:r>
    </w:p>
    <w:p>
      <w:pPr>
        <w:pStyle w:val="Normal"/>
        <w:bidi w:val="0"/>
        <w:jc w:val="both"/>
        <w:rPr>
          <w:rFonts w:ascii="Times New Roman" w:hAnsi="Times New Roman"/>
          <w:b/>
        </w:rPr>
      </w:pPr>
      <w:r>
        <w:rPr>
          <w:rFonts w:ascii="Times New Roman" w:hAnsi="Times New Roman"/>
          <w:b/>
        </w:rPr>
      </w:r>
    </w:p>
    <w:p>
      <w:pPr>
        <w:pStyle w:val="Normal"/>
        <w:bidi w:val="0"/>
        <w:jc w:val="both"/>
        <w:rPr>
          <w:rFonts w:ascii="Times New Roman" w:hAnsi="Times New Roman"/>
          <w:b/>
        </w:rPr>
      </w:pPr>
      <w:r>
        <w:rPr>
          <w:rFonts w:ascii="Times New Roman" w:hAnsi="Times New Roman"/>
          <w:b/>
        </w:rPr>
      </w:r>
    </w:p>
    <w:p>
      <w:pPr>
        <w:pStyle w:val="Normal"/>
        <w:bidi w:val="0"/>
        <w:jc w:val="both"/>
        <w:rPr>
          <w:rFonts w:ascii="Times New Roman" w:hAnsi="Times New Roman"/>
        </w:rPr>
      </w:pPr>
      <w:r>
        <w:rPr>
          <w:rFonts w:ascii="Times New Roman" w:hAnsi="Times New Roman"/>
        </w:rPr>
        <w:tab/>
        <w:t>This CONSENT AND AMENDMENT AGREEMENT (this “Amendment”) is entered into by and among Enron North America Corp. (“ENA”), Enron Canada Corp. (“ECC”), Enron Power Marketing, Inc. (“EPMI”), Aquila Risk Management Corporation (“ARMC”), Aquila Energy Marketing Corporation (“AEMC”), Aquila Capital and Trade Ltd. (“ACT”), and Aquila Canada Corp. (“ACC”) (ARMC, AEMC, ACT and ACC are collectively known as “Counterparty”) effective as of August 1, 2001 (the “Effective Date”).</w:t>
      </w:r>
    </w:p>
    <w:p>
      <w:pPr>
        <w:pStyle w:val="Normal"/>
        <w:bidi w:val="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WHEREAS, ENA and ARMC are parties to that certain ISDA Master Agreement (the “ARMC ISDA Master”) dated effective as of May 3, 2000, and assigned and amended effective as of February 9, 2001, ECC and ACC are parties to that certain ISDA Master Agreement dated effective as of March 24, 2000 (the “ACC ISDA Master”), ECC and ACT are parties to that certain ISDA Master Agreement dated effective July 1, 2001 (the “ACT ISDA Master”), ENA and AEMC are parties to that certain Enfolio Master Firm Purchase/Sale Agreement (the “Gas Master”) dated effective as of October 1, 1993, and EPMI and AEMC are parties to that certain Master Energy Purchase and Sale Agreement dated</w:t>
      </w:r>
      <w:r>
        <w:rPr>
          <w:rFonts w:ascii="Times New Roman" w:hAnsi="Times New Roman"/>
          <w:b/>
        </w:rPr>
        <w:t xml:space="preserve"> </w:t>
      </w:r>
      <w:r>
        <w:rPr>
          <w:rFonts w:ascii="Times New Roman" w:hAnsi="Times New Roman"/>
        </w:rPr>
        <w:t xml:space="preserve">as of February 1, 1997, as amended by that certain First Amendment to Master Energy Purchase and Sale Agreement dated effective March 1, 1998, and that Second Amendment to Master Energy Purchase and Sale Agreement dated effective as of October 1, 1998 (the “Power Master”).    The ARMC ISDA Master, the ACC ISDA Master, the ACT ISDA Master, the Gas Master and the Power Master are hereinafter referred to individually as a “Governing Agreement” and collectively as the “Governing Agreements;” </w:t>
      </w:r>
    </w:p>
    <w:p>
      <w:pPr>
        <w:pStyle w:val="Normal"/>
        <w:bidi w:val="0"/>
        <w:ind w:firstLine="72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WHEREAS, Counterparty has entered into, and expects to enter into in the future, physically settled and financially settled natural gas and power transactions from time to time using the EnronOnline trading system (“EOL”), each of which transactions is governed by one of the Governing Agreements (each an “EOL Transaction” and collectively the “EOL Transactions” whether entered into before, on, or after the Effective Date); and</w:t>
      </w:r>
    </w:p>
    <w:p>
      <w:pPr>
        <w:pStyle w:val="Normal"/>
        <w:bidi w:val="0"/>
        <w:ind w:firstLine="720"/>
        <w:jc w:val="both"/>
        <w:rPr>
          <w:rFonts w:ascii="Times New Roman" w:hAnsi="Times New Roman"/>
        </w:rPr>
      </w:pPr>
      <w:r>
        <w:rPr>
          <w:rFonts w:ascii="Times New Roman" w:hAnsi="Times New Roman"/>
        </w:rPr>
        <w:tab/>
      </w:r>
    </w:p>
    <w:p>
      <w:pPr>
        <w:pStyle w:val="Normal"/>
        <w:bidi w:val="0"/>
        <w:ind w:firstLine="720"/>
        <w:jc w:val="both"/>
        <w:rPr>
          <w:rFonts w:ascii="Times New Roman" w:hAnsi="Times New Roman"/>
        </w:rPr>
      </w:pPr>
      <w:r>
        <w:rPr>
          <w:rFonts w:ascii="Times New Roman" w:hAnsi="Times New Roman"/>
        </w:rPr>
        <w:t>WHEREAS, ENA, ECC, EPMI and Counterparty now desire to amend the Governing Agreements to provide that it is not necessary to confirm the EOL Transactions in writing and in certain other respects.</w:t>
      </w:r>
    </w:p>
    <w:p>
      <w:pPr>
        <w:pStyle w:val="Normal"/>
        <w:bidi w:val="0"/>
        <w:ind w:firstLine="72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NOW THEREFORE, in consideration of the mutual consents and agreements contained herein and for other good and valuable consideration, the sufficiency of which is hereby acknowledged, ENA, ECC, EPMI and Counterparty agree as follows:</w:t>
      </w:r>
    </w:p>
    <w:p>
      <w:pPr>
        <w:pStyle w:val="Normal"/>
        <w:bidi w:val="0"/>
        <w:ind w:firstLine="72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1.    Each Governing Agreement is hereby amended in such a manner and to the extent necessary to provide that when entering into an EOL Transaction:</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a.    neither party is required to send to the other a confirmation of any EOL Transaction, and failure to send a confirmation of an EOL Transaction shall not constitute a default or have any other ramification under the Governing Agreements;</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b.    the EOL Transactions shall be binding on the parties to the applicable Governing Agreement and shall be governed by all other provisions of the applicable Governing Agreement to the same extent as if confirmations had been sent by one party and executed and returned by the other;</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c.    the electronic records of the EOL Transactions available on EOL shall supplement, form a part of, and be subject to the terms of the applicable Governing Agreement; and</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d.    this Amendment shall apply to any EOL Transaction that has not been documented in a confirmation executed and delivered by both parties.</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 xml:space="preserve">2.    Certain of the Governing Agreements are further amended as provided in the Annexes attached hereto and made a part hereof for all purposes.    </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3.    Each of ENA, ECC,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or among the parties to the same extent and under the same conditions as other business records originated and maintained in documentary form.    No party shall object to the admissibility of such EOL electronic records on the basis that such were not originated or maintained in documentary form under either the hearsay rule, the best evidence rule or other rule of evidence.</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 xml:space="preserve">4.    Except as expressly provided herein, the Governing Agreements are not otherwise modified or amended.    In particular, the confirmation process and requirements set forth in such Governing Agreement, if any, with respect to transactions thereunder, other than EOL Transactions, </w:t>
      </w:r>
      <w:r>
        <w:rPr>
          <w:rFonts w:ascii="Times New Roman" w:hAnsi="Times New Roman"/>
          <w:strike/>
        </w:rPr>
        <w:t>remains</w:t>
      </w:r>
      <w:r>
        <w:rPr>
          <w:rFonts w:ascii="Times New Roman" w:hAnsi="Times New Roman"/>
        </w:rPr>
        <w:t xml:space="preserve"> </w:t>
      </w:r>
      <w:r>
        <w:rPr>
          <w:rFonts w:ascii="Times New Roman" w:hAnsi="Times New Roman"/>
          <w:u w:val="single"/>
        </w:rPr>
        <w:t>remain</w:t>
      </w:r>
      <w:r>
        <w:rPr>
          <w:rFonts w:ascii="Times New Roman" w:hAnsi="Times New Roman"/>
        </w:rPr>
        <w:t xml:space="preserve"> unchanged and shall apply to any such transactions.</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5.    As applied to each EOL Transaction, this Amendment shall be governed by and construed in accordance with the law specified as governing the Governing Agreement applicable to such EOL Transaction.    This Amendment shall be binding on and inure to the benefit of the parties and their respective successors and permitted assigns.</w:t>
      </w:r>
      <w:r>
        <w:br w:type="page"/>
      </w:r>
    </w:p>
    <w:p>
      <w:pPr>
        <w:pStyle w:val="Normal"/>
        <w:bidi w:val="0"/>
        <w:ind w:firstLine="720"/>
        <w:jc w:val="both"/>
        <w:rPr>
          <w:rFonts w:ascii="Times New Roman" w:hAnsi="Times New Roman"/>
        </w:rPr>
      </w:pPr>
      <w:r>
        <w:rPr>
          <w:rFonts w:ascii="Times New Roman" w:hAnsi="Times New Roman"/>
        </w:rPr>
        <w:t>IN WITNESS WHEREOF, the parties have executed this Amendment effective as of the date first above written.</w:t>
      </w:r>
    </w:p>
    <w:p>
      <w:pPr>
        <w:pStyle w:val="Normal"/>
        <w:bidi w:val="0"/>
        <w:ind w:firstLine="72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ENRON NORTH AMERICA CORP.</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By:____________________________</w:t>
      </w:r>
    </w:p>
    <w:p>
      <w:pPr>
        <w:pStyle w:val="Normal"/>
        <w:bidi w:val="0"/>
        <w:jc w:val="both"/>
        <w:rPr>
          <w:rFonts w:ascii="Times New Roman" w:hAnsi="Times New Roman"/>
        </w:rPr>
      </w:pPr>
      <w:r>
        <w:rPr>
          <w:rFonts w:ascii="Times New Roman" w:hAnsi="Times New Roman"/>
        </w:rPr>
        <w:t>Name:__________________________</w:t>
      </w:r>
    </w:p>
    <w:p>
      <w:pPr>
        <w:pStyle w:val="Normal"/>
        <w:bidi w:val="0"/>
        <w:jc w:val="both"/>
        <w:rPr>
          <w:rFonts w:ascii="Times New Roman" w:hAnsi="Times New Roman"/>
        </w:rPr>
      </w:pPr>
      <w:r>
        <w:rPr>
          <w:rFonts w:ascii="Times New Roman" w:hAnsi="Times New Roman"/>
        </w:rPr>
        <w:t>Title:___________________________</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ENRON POWER MARKETING, INC.</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By:____________________________</w:t>
      </w:r>
    </w:p>
    <w:p>
      <w:pPr>
        <w:pStyle w:val="Normal"/>
        <w:bidi w:val="0"/>
        <w:jc w:val="both"/>
        <w:rPr>
          <w:rFonts w:ascii="Times New Roman" w:hAnsi="Times New Roman"/>
        </w:rPr>
      </w:pPr>
      <w:r>
        <w:rPr>
          <w:rFonts w:ascii="Times New Roman" w:hAnsi="Times New Roman"/>
        </w:rPr>
        <w:t>Name:__________________________</w:t>
      </w:r>
    </w:p>
    <w:p>
      <w:pPr>
        <w:pStyle w:val="Normal"/>
        <w:bidi w:val="0"/>
        <w:jc w:val="both"/>
        <w:rPr>
          <w:rFonts w:ascii="Times New Roman" w:hAnsi="Times New Roman"/>
        </w:rPr>
      </w:pPr>
      <w:r>
        <w:rPr>
          <w:rFonts w:ascii="Times New Roman" w:hAnsi="Times New Roman"/>
        </w:rPr>
        <w:t>Title:___________________________</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ENRON CANADA CORP.</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By:____________________________</w:t>
      </w:r>
    </w:p>
    <w:p>
      <w:pPr>
        <w:pStyle w:val="Normal"/>
        <w:bidi w:val="0"/>
        <w:jc w:val="both"/>
        <w:rPr>
          <w:rFonts w:ascii="Times New Roman" w:hAnsi="Times New Roman"/>
        </w:rPr>
      </w:pPr>
      <w:r>
        <w:rPr>
          <w:rFonts w:ascii="Times New Roman" w:hAnsi="Times New Roman"/>
        </w:rPr>
        <w:t>Name:__________________________</w:t>
      </w:r>
    </w:p>
    <w:p>
      <w:pPr>
        <w:pStyle w:val="Normal"/>
        <w:bidi w:val="0"/>
        <w:jc w:val="both"/>
        <w:rPr>
          <w:rFonts w:ascii="Times New Roman" w:hAnsi="Times New Roman"/>
        </w:rPr>
      </w:pPr>
      <w:r>
        <w:rPr>
          <w:rFonts w:ascii="Times New Roman" w:hAnsi="Times New Roman"/>
        </w:rPr>
        <w:t>Title:___________________________</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AQUILA ENERGY MARKETING CORPORATION</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By:____________________________</w:t>
      </w:r>
    </w:p>
    <w:p>
      <w:pPr>
        <w:pStyle w:val="Normal"/>
        <w:bidi w:val="0"/>
        <w:jc w:val="both"/>
        <w:rPr>
          <w:rFonts w:ascii="Times New Roman" w:hAnsi="Times New Roman"/>
        </w:rPr>
      </w:pPr>
      <w:r>
        <w:rPr>
          <w:rFonts w:ascii="Times New Roman" w:hAnsi="Times New Roman"/>
        </w:rPr>
        <w:t>Name:__________________________</w:t>
      </w:r>
    </w:p>
    <w:p>
      <w:pPr>
        <w:pStyle w:val="Normal"/>
        <w:bidi w:val="0"/>
        <w:jc w:val="both"/>
        <w:rPr>
          <w:rFonts w:ascii="Times New Roman" w:hAnsi="Times New Roman"/>
        </w:rPr>
      </w:pPr>
      <w:r>
        <w:rPr>
          <w:rFonts w:ascii="Times New Roman" w:hAnsi="Times New Roman"/>
        </w:rPr>
        <w:t>Title:___________________________</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AQUILA RISK MANAGEMENT CORPORATION</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By:____________________________</w:t>
      </w:r>
    </w:p>
    <w:p>
      <w:pPr>
        <w:pStyle w:val="Normal"/>
        <w:bidi w:val="0"/>
        <w:jc w:val="both"/>
        <w:rPr>
          <w:rFonts w:ascii="Times New Roman" w:hAnsi="Times New Roman"/>
        </w:rPr>
      </w:pPr>
      <w:r>
        <w:rPr>
          <w:rFonts w:ascii="Times New Roman" w:hAnsi="Times New Roman"/>
        </w:rPr>
        <w:t>Name:__________________________</w:t>
      </w:r>
    </w:p>
    <w:p>
      <w:pPr>
        <w:pStyle w:val="Normal"/>
        <w:bidi w:val="0"/>
        <w:jc w:val="both"/>
        <w:rPr>
          <w:rFonts w:ascii="Times New Roman" w:hAnsi="Times New Roman"/>
        </w:rPr>
      </w:pPr>
      <w:r>
        <w:rPr>
          <w:rFonts w:ascii="Times New Roman" w:hAnsi="Times New Roman"/>
        </w:rPr>
        <w:t>Title:___________________________</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AQUILA CAPITAL AND TRADE LTD.</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By:____________________________</w:t>
      </w:r>
    </w:p>
    <w:p>
      <w:pPr>
        <w:pStyle w:val="Normal"/>
        <w:bidi w:val="0"/>
        <w:jc w:val="both"/>
        <w:rPr>
          <w:rFonts w:ascii="Times New Roman" w:hAnsi="Times New Roman"/>
        </w:rPr>
      </w:pPr>
      <w:r>
        <w:rPr>
          <w:rFonts w:ascii="Times New Roman" w:hAnsi="Times New Roman"/>
        </w:rPr>
        <w:t>Name:__________________________</w:t>
      </w:r>
    </w:p>
    <w:p>
      <w:pPr>
        <w:pStyle w:val="Normal"/>
        <w:bidi w:val="0"/>
        <w:jc w:val="both"/>
        <w:rPr>
          <w:rFonts w:ascii="Times New Roman" w:hAnsi="Times New Roman"/>
        </w:rPr>
      </w:pPr>
      <w:r>
        <w:rPr>
          <w:rFonts w:ascii="Times New Roman" w:hAnsi="Times New Roman"/>
        </w:rPr>
        <w:t>Title:___________________________</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AQUILA CANADA CORP.</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By:____________________________</w:t>
      </w:r>
    </w:p>
    <w:p>
      <w:pPr>
        <w:pStyle w:val="Normal"/>
        <w:bidi w:val="0"/>
        <w:jc w:val="both"/>
        <w:rPr>
          <w:rFonts w:ascii="Times New Roman" w:hAnsi="Times New Roman"/>
        </w:rPr>
      </w:pPr>
      <w:r>
        <w:rPr>
          <w:rFonts w:ascii="Times New Roman" w:hAnsi="Times New Roman"/>
        </w:rPr>
        <w:t>Name:__________________________</w:t>
      </w:r>
    </w:p>
    <w:p>
      <w:pPr>
        <w:pStyle w:val="Normal"/>
        <w:bidi w:val="0"/>
        <w:jc w:val="both"/>
        <w:rPr>
          <w:rFonts w:ascii="Times New Roman" w:hAnsi="Times New Roman"/>
        </w:rPr>
      </w:pPr>
      <w:r>
        <w:rPr>
          <w:rFonts w:ascii="Times New Roman" w:hAnsi="Times New Roman"/>
        </w:rPr>
        <w:t>Title:___________________________</w:t>
      </w:r>
    </w:p>
    <w:p>
      <w:pPr>
        <w:pStyle w:val="Normal"/>
        <w:bidi w:val="0"/>
        <w:jc w:val="both"/>
        <w:rPr>
          <w:rFonts w:ascii="Times New Roman" w:hAnsi="Times New Roman"/>
        </w:rPr>
      </w:pPr>
      <w:r>
        <w:rPr>
          <w:rFonts w:ascii="Times New Roman" w:hAnsi="Times New Roman"/>
        </w:rPr>
      </w:r>
      <w:r>
        <w:br w:type="page"/>
      </w:r>
    </w:p>
    <w:p>
      <w:pPr>
        <w:pStyle w:val="Normal"/>
        <w:bidi w:val="0"/>
        <w:jc w:val="both"/>
        <w:rPr>
          <w:rFonts w:ascii="Times New Roman" w:hAnsi="Times New Roman"/>
        </w:rPr>
      </w:pPr>
      <w:r>
        <w:rPr>
          <w:rFonts w:ascii="Times New Roman" w:hAnsi="Times New Roman"/>
        </w:rPr>
      </w:r>
    </w:p>
    <w:p>
      <w:pPr>
        <w:pStyle w:val="Normal"/>
        <w:bidi w:val="0"/>
        <w:jc w:val="center"/>
        <w:rPr>
          <w:rFonts w:ascii="Times New Roman" w:hAnsi="Times New Roman"/>
          <w:b/>
          <w:u w:val="single"/>
        </w:rPr>
      </w:pPr>
      <w:r>
        <w:rPr>
          <w:rFonts w:ascii="Times New Roman" w:hAnsi="Times New Roman"/>
          <w:b/>
          <w:u w:val="single"/>
        </w:rPr>
        <w:t>ANNEX A</w:t>
      </w:r>
    </w:p>
    <w:p>
      <w:pPr>
        <w:pStyle w:val="Normal"/>
        <w:bidi w:val="0"/>
        <w:jc w:val="center"/>
        <w:rPr>
          <w:rFonts w:ascii="Times New Roman" w:hAnsi="Times New Roman"/>
          <w:b/>
        </w:rPr>
      </w:pPr>
      <w:r>
        <w:rPr>
          <w:rFonts w:ascii="Times New Roman" w:hAnsi="Times New Roman"/>
          <w:b/>
        </w:rPr>
      </w:r>
    </w:p>
    <w:p>
      <w:pPr>
        <w:pStyle w:val="BodyText"/>
        <w:bidi w:val="0"/>
        <w:rPr>
          <w:rFonts w:ascii="Times New Roman" w:hAnsi="Times New Roman"/>
        </w:rPr>
      </w:pPr>
      <w:r>
        <w:rPr>
          <w:rFonts w:ascii="Times New Roman" w:hAnsi="Times New Roman"/>
        </w:rPr>
        <w:t xml:space="preserve">The Power Master is hereby amended to include the following </w:t>
      </w:r>
      <w:r>
        <w:rPr>
          <w:rFonts w:ascii="Times New Roman" w:hAnsi="Times New Roman"/>
          <w:strike/>
        </w:rPr>
        <w:t>provision</w:t>
      </w:r>
      <w:r>
        <w:rPr>
          <w:rFonts w:ascii="Times New Roman" w:hAnsi="Times New Roman"/>
        </w:rPr>
        <w:t xml:space="preserve"> </w:t>
      </w:r>
      <w:r>
        <w:rPr>
          <w:rFonts w:ascii="Times New Roman" w:hAnsi="Times New Roman"/>
          <w:u w:val="single"/>
        </w:rPr>
        <w:t>provisions</w:t>
      </w:r>
      <w:r>
        <w:rPr>
          <w:rFonts w:ascii="Times New Roman" w:hAnsi="Times New Roman"/>
        </w:rPr>
        <w:t xml:space="preserve">:    </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u w:val="single"/>
        </w:rPr>
        <w:t>Confidentiality</w:t>
      </w:r>
      <w:r>
        <w:rPr>
          <w:rFonts w:ascii="Times New Roman" w:hAnsi="Times New Roman"/>
        </w:rPr>
        <w:t>.    Neither Party shall disclose the terms of any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u w:val="single"/>
        </w:rPr>
        <w:t>Floating Price Transactions.    The following provisions shall apply to Transactions in which the specified price is a Floating Price:</w:t>
      </w:r>
    </w:p>
    <w:p>
      <w:pPr>
        <w:pStyle w:val="Normal"/>
        <w:bidi w:val="0"/>
        <w:ind w:hanging="0" w:start="720"/>
        <w:jc w:val="both"/>
        <w:rPr>
          <w:rFonts w:ascii="Times New Roman" w:hAnsi="Times New Roman"/>
        </w:rPr>
      </w:pPr>
      <w:r>
        <w:rPr>
          <w:rFonts w:ascii="Times New Roman" w:hAnsi="Times New Roman"/>
          <w:u w:val="single"/>
        </w:rPr>
        <w:t>Market Disruption</w:t>
      </w:r>
      <w:r>
        <w:rPr>
          <w:rFonts w:ascii="Times New Roman" w:hAnsi="Times New Roman"/>
        </w:rPr>
        <w:t xml:space="preserve">.    If a Market Disruption Event has occurred and is continuing during the Determination Period, </w:t>
      </w:r>
      <w:r>
        <w:rPr>
          <w:rFonts w:ascii="Times New Roman" w:hAnsi="Times New Roman"/>
          <w:u w:val="single"/>
        </w:rPr>
        <w:t>then</w:t>
      </w:r>
      <w:r>
        <w:rPr>
          <w:rFonts w:ascii="Times New Roman" w:hAnsi="Times New Roman"/>
        </w:rPr>
        <w:t xml:space="preserve"> the Floating Price for such Trading Day shall be determined pursuant to the index specified in the Transaction for the first Trading Day thereafter on which no Market Disruption Event exists; </w:t>
      </w:r>
      <w:r>
        <w:rPr>
          <w:rFonts w:ascii="Times New Roman" w:hAnsi="Times New Roman"/>
          <w:u w:val="single"/>
        </w:rPr>
        <w:t>provided</w:t>
      </w:r>
      <w:r>
        <w:rPr>
          <w:rFonts w:ascii="Times New Roman" w:hAnsi="Times New Roman"/>
        </w:rPr>
        <w:t xml:space="preserve">, </w:t>
      </w:r>
      <w:r>
        <w:rPr>
          <w:rFonts w:ascii="Times New Roman" w:hAnsi="Times New Roman"/>
          <w:u w:val="single"/>
        </w:rPr>
        <w:t>however</w:t>
      </w:r>
      <w:r>
        <w:rPr>
          <w:rFonts w:ascii="Times New Roman" w:hAnsi="Times New Roman"/>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EPMI, by taking the average of two of more dealer quotes.</w:t>
      </w:r>
    </w:p>
    <w:p>
      <w:pPr>
        <w:pStyle w:val="Normal"/>
        <w:bidi w:val="0"/>
        <w:jc w:val="both"/>
        <w:rPr>
          <w:rFonts w:ascii="Times New Roman" w:hAnsi="Times New Roman"/>
          <w:u w:val="single"/>
        </w:rPr>
      </w:pPr>
      <w:r>
        <w:rPr>
          <w:rFonts w:ascii="Times New Roman" w:hAnsi="Times New Roman"/>
          <w:u w:val="single"/>
        </w:rPr>
      </w:r>
    </w:p>
    <w:p>
      <w:pPr>
        <w:pStyle w:val="Normal"/>
        <w:bidi w:val="0"/>
        <w:ind w:hanging="0" w:start="1008"/>
        <w:jc w:val="both"/>
        <w:rPr>
          <w:rFonts w:ascii="Times New Roman" w:hAnsi="Times New Roman"/>
          <w:u w:val="single"/>
        </w:rPr>
      </w:pPr>
      <w:r>
        <w:rPr>
          <w:rFonts w:ascii="Times New Roman" w:hAnsi="Times New Roman"/>
          <w:u w:val="single"/>
        </w:rPr>
        <w:t>“</w:t>
      </w:r>
      <w:r>
        <w:rPr>
          <w:rFonts w:ascii="Times New Roman" w:hAnsi="Times New Roman"/>
          <w:u w:val="single"/>
        </w:rPr>
        <w:t>Determination Period” means each calendar month during the term of the relevant Transaction; provided that if the term of the Transaction is less than one calendar month the Determination Period shall be the term of the Transaction.</w:t>
      </w:r>
    </w:p>
    <w:p>
      <w:pPr>
        <w:pStyle w:val="Normal"/>
        <w:bidi w:val="0"/>
        <w:ind w:hanging="0" w:start="1008"/>
        <w:jc w:val="both"/>
        <w:rPr>
          <w:rFonts w:ascii="Times New Roman" w:hAnsi="Times New Roman"/>
          <w:u w:val="single"/>
        </w:rPr>
      </w:pPr>
      <w:r>
        <w:rPr>
          <w:rFonts w:ascii="Times New Roman" w:hAnsi="Times New Roman"/>
          <w:u w:val="single"/>
        </w:rPr>
      </w:r>
    </w:p>
    <w:p>
      <w:pPr>
        <w:pStyle w:val="Normal"/>
        <w:bidi w:val="0"/>
        <w:ind w:hanging="0" w:start="1008"/>
        <w:jc w:val="both"/>
        <w:rPr>
          <w:rFonts w:ascii="Times New Roman" w:hAnsi="Times New Roman"/>
          <w:u w:val="single"/>
        </w:rPr>
      </w:pPr>
      <w:r>
        <w:rPr>
          <w:rFonts w:ascii="Times New Roman" w:hAnsi="Times New Roman"/>
          <w:u w:val="single"/>
        </w:rPr>
        <w:t>“</w:t>
      </w:r>
      <w:r>
        <w:rPr>
          <w:rFonts w:ascii="Times New Roman" w:hAnsi="Times New Roman"/>
          <w:u w:val="single"/>
        </w:rPr>
        <w:t>Floating Price” means the price specified in the Transaction as being based upon a specified index.</w:t>
      </w:r>
    </w:p>
    <w:p>
      <w:pPr>
        <w:pStyle w:val="Normal"/>
        <w:bidi w:val="0"/>
        <w:ind w:hanging="0" w:start="1008"/>
        <w:jc w:val="both"/>
        <w:rPr>
          <w:rFonts w:ascii="Times New Roman" w:hAnsi="Times New Roman"/>
          <w:u w:val="single"/>
        </w:rPr>
      </w:pPr>
      <w:r>
        <w:rPr>
          <w:rFonts w:ascii="Times New Roman" w:hAnsi="Times New Roman"/>
          <w:u w:val="single"/>
        </w:rPr>
      </w:r>
    </w:p>
    <w:p>
      <w:pPr>
        <w:pStyle w:val="Normal"/>
        <w:bidi w:val="0"/>
        <w:ind w:hanging="0" w:start="1008"/>
        <w:jc w:val="both"/>
        <w:rPr>
          <w:rFonts w:ascii="Times New Roman" w:hAnsi="Times New Roman"/>
          <w:u w:val="single"/>
        </w:rPr>
      </w:pPr>
      <w:r>
        <w:rPr>
          <w:rFonts w:ascii="Times New Roman" w:hAnsi="Times New Roman"/>
          <w:u w:val="single"/>
        </w:rPr>
        <w:t>"Market Disruption Event"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bidi w:val="0"/>
        <w:ind w:hanging="0" w:start="1008"/>
        <w:jc w:val="both"/>
        <w:rPr>
          <w:rFonts w:ascii="Times New Roman" w:hAnsi="Times New Roman"/>
          <w:u w:val="single"/>
        </w:rPr>
      </w:pPr>
      <w:r>
        <w:rPr>
          <w:rFonts w:ascii="Times New Roman" w:hAnsi="Times New Roman"/>
          <w:u w:val="single"/>
        </w:rPr>
      </w:r>
    </w:p>
    <w:p>
      <w:pPr>
        <w:pStyle w:val="Normal"/>
        <w:bidi w:val="0"/>
        <w:ind w:hanging="0" w:start="1008"/>
        <w:jc w:val="both"/>
        <w:rPr>
          <w:rFonts w:ascii="Times New Roman" w:hAnsi="Times New Roman"/>
          <w:u w:val="single"/>
        </w:rPr>
      </w:pPr>
      <w:r>
        <w:rPr>
          <w:rFonts w:ascii="Times New Roman" w:hAnsi="Times New Roman"/>
          <w:u w:val="single"/>
        </w:rPr>
        <w:t>“</w:t>
      </w:r>
      <w:r>
        <w:rPr>
          <w:rFonts w:ascii="Times New Roman" w:hAnsi="Times New Roman"/>
          <w:u w:val="single"/>
        </w:rPr>
        <w:t>Trading Day” means a day in respect of which the relevant price source published the relevant price.</w:t>
      </w:r>
    </w:p>
    <w:p>
      <w:pPr>
        <w:pStyle w:val="BodyText"/>
        <w:bidi w:val="0"/>
        <w:ind w:hanging="0" w:start="720"/>
        <w:rPr>
          <w:rFonts w:ascii="Times New Roman" w:hAnsi="Times New Roman"/>
          <w:u w:val="single"/>
        </w:rPr>
      </w:pPr>
      <w:r>
        <w:rPr>
          <w:rFonts w:ascii="Times New Roman" w:hAnsi="Times New Roman"/>
          <w:u w:val="single"/>
        </w:rPr>
      </w:r>
    </w:p>
    <w:p>
      <w:pPr>
        <w:pStyle w:val="BodyText"/>
        <w:bidi w:val="0"/>
        <w:ind w:hanging="0" w:start="720"/>
        <w:rPr>
          <w:rFonts w:ascii="Times New Roman" w:hAnsi="Times New Roman"/>
          <w:u w:val="single"/>
        </w:rPr>
      </w:pPr>
      <w:r>
        <w:rPr>
          <w:rFonts w:ascii="Times New Roman" w:hAnsi="Times New Roman"/>
          <w:u w:val="single"/>
        </w:rPr>
        <w:t>Corrections to Published Prices. 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bidi w:val="0"/>
        <w:ind w:hanging="0" w:start="720"/>
        <w:jc w:val="both"/>
        <w:rPr>
          <w:rFonts w:ascii="Times New Roman" w:hAnsi="Times New Roman"/>
          <w:u w:val="single"/>
        </w:rPr>
      </w:pPr>
      <w:r>
        <w:rPr>
          <w:rFonts w:ascii="Times New Roman" w:hAnsi="Times New Roman"/>
          <w:u w:val="single"/>
        </w:rPr>
      </w:r>
    </w:p>
    <w:p>
      <w:pPr>
        <w:pStyle w:val="Normal"/>
        <w:bidi w:val="0"/>
        <w:ind w:hanging="0" w:start="720"/>
        <w:jc w:val="both"/>
        <w:rPr>
          <w:rFonts w:ascii="Times New Roman" w:hAnsi="Times New Roman"/>
          <w:u w:val="single"/>
        </w:rPr>
      </w:pPr>
      <w:r>
        <w:rPr>
          <w:rFonts w:ascii="Times New Roman" w:hAnsi="Times New Roman"/>
          <w:u w:val="single"/>
        </w:rPr>
        <w:t>Calculation of Floating Price.    For the purposes of the calculation of a Floating Price, all numbers shall be rounded to three (3) decimal places.    If the fourth (4</w:t>
      </w:r>
      <w:r>
        <w:rPr>
          <w:rFonts w:ascii="Times New Roman" w:hAnsi="Times New Roman"/>
          <w:u w:val="single"/>
          <w:vertAlign w:val="superscript"/>
        </w:rPr>
        <w:t>th</w:t>
      </w:r>
      <w:r>
        <w:rPr>
          <w:rFonts w:ascii="Times New Roman" w:hAnsi="Times New Roman"/>
          <w:u w:val="single"/>
        </w:rPr>
        <w:t>) decimal number is five (5) or greater, then the third (3</w:t>
      </w:r>
      <w:r>
        <w:rPr>
          <w:rFonts w:ascii="Times New Roman" w:hAnsi="Times New Roman"/>
          <w:u w:val="single"/>
          <w:vertAlign w:val="superscript"/>
        </w:rPr>
        <w:t>rd</w:t>
      </w:r>
      <w:r>
        <w:rPr>
          <w:rFonts w:ascii="Times New Roman" w:hAnsi="Times New Roman"/>
          <w:u w:val="single"/>
        </w:rPr>
        <w:t>) decimal number shall be increased by one (1), and if the fourth (4</w:t>
      </w:r>
      <w:r>
        <w:rPr>
          <w:rFonts w:ascii="Times New Roman" w:hAnsi="Times New Roman"/>
          <w:u w:val="single"/>
          <w:vertAlign w:val="superscript"/>
        </w:rPr>
        <w:t>th</w:t>
      </w:r>
      <w:r>
        <w:rPr>
          <w:rFonts w:ascii="Times New Roman" w:hAnsi="Times New Roman"/>
          <w:u w:val="single"/>
        </w:rPr>
        <w:t>) decimal number is less than five (5), then the third (3</w:t>
      </w:r>
      <w:r>
        <w:rPr>
          <w:rFonts w:ascii="Times New Roman" w:hAnsi="Times New Roman"/>
          <w:u w:val="single"/>
          <w:vertAlign w:val="superscript"/>
        </w:rPr>
        <w:t>rd</w:t>
      </w:r>
      <w:r>
        <w:rPr>
          <w:rFonts w:ascii="Times New Roman" w:hAnsi="Times New Roman"/>
          <w:u w:val="single"/>
        </w:rPr>
        <w:t>) decimal number shall remain unchanged.</w:t>
      </w:r>
    </w:p>
    <w:p>
      <w:pPr>
        <w:pStyle w:val="Normal"/>
        <w:bidi w:val="0"/>
        <w:ind w:hanging="0" w:start="720"/>
        <w:jc w:val="both"/>
        <w:rPr>
          <w:rFonts w:ascii="Times New Roman" w:hAnsi="Times New Roman"/>
          <w:u w:val="single"/>
        </w:rPr>
      </w:pPr>
      <w:r>
        <w:rPr>
          <w:rFonts w:ascii="Times New Roman" w:hAnsi="Times New Roman"/>
          <w:u w:val="single"/>
        </w:rPr>
      </w:r>
    </w:p>
    <w:p>
      <w:pPr>
        <w:pStyle w:val="Normal"/>
        <w:bidi w:val="0"/>
        <w:ind w:hanging="0" w:start="720"/>
        <w:jc w:val="both"/>
        <w:rPr>
          <w:rFonts w:ascii="Times New Roman" w:hAnsi="Times New Roman"/>
          <w:u w:val="single"/>
        </w:rPr>
      </w:pPr>
      <w:r>
        <w:rPr>
          <w:rFonts w:ascii="Times New Roman" w:hAnsi="Times New Roman"/>
          <w:u w:val="single"/>
        </w:rPr>
      </w:r>
    </w:p>
    <w:p>
      <w:pPr>
        <w:pStyle w:val="Normal"/>
        <w:bidi w:val="0"/>
        <w:jc w:val="both"/>
        <w:rPr>
          <w:rFonts w:ascii="Times New Roman" w:hAnsi="Times New Roman"/>
          <w:u w:val="single"/>
        </w:rPr>
      </w:pPr>
      <w:r>
        <w:rPr>
          <w:rFonts w:ascii="Times New Roman" w:hAnsi="Times New Roman"/>
          <w:u w:val="single"/>
        </w:rPr>
        <w:t>Scheduling Provisions.</w:t>
      </w:r>
      <w:r>
        <w:rPr>
          <w:rFonts w:ascii="Times New Roman" w:hAnsi="Times New Roman"/>
          <w:b/>
        </w:rPr>
        <w:t xml:space="preserve"> </w:t>
      </w:r>
      <w:r>
        <w:rPr>
          <w:rFonts w:ascii="Times New Roman" w:hAnsi="Times New Roman"/>
        </w:rPr>
        <w:t xml:space="preserve"> </w:t>
      </w:r>
      <w:r>
        <w:rPr>
          <w:rFonts w:ascii="Times New Roman" w:hAnsi="Times New Roman"/>
          <w:u w:val="single"/>
        </w:rPr>
        <w:t>Power deliveries shall be scheduled in accordance with the then-current applicable tariffs, protocols, operating procedures and scheduling practices for the relevant region.    For example</w:t>
      </w:r>
      <w:r>
        <w:rPr>
          <w:rFonts w:ascii="Times New Roman" w:hAnsi="Times New Roman"/>
          <w:b/>
          <w:u w:val="single"/>
        </w:rPr>
        <w:t xml:space="preserve">, </w:t>
      </w:r>
      <w:r>
        <w:rPr>
          <w:rFonts w:ascii="Times New Roman" w:hAnsi="Times New Roman"/>
          <w:u w:val="single"/>
        </w:rPr>
        <w:t>as of the date of this Amendment, the scheduling deadlines for the following regions are as follows:</w:t>
      </w:r>
    </w:p>
    <w:p>
      <w:pPr>
        <w:pStyle w:val="Normal"/>
        <w:bidi w:val="0"/>
        <w:ind w:hanging="0" w:start="1080"/>
        <w:jc w:val="both"/>
        <w:rPr>
          <w:rFonts w:ascii="Times New Roman" w:hAnsi="Times New Roman"/>
          <w:u w:val="single"/>
        </w:rPr>
      </w:pPr>
      <w:r>
        <w:rPr>
          <w:rFonts w:ascii="Times New Roman" w:hAnsi="Times New Roman"/>
          <w:u w:val="single"/>
        </w:rPr>
      </w:r>
    </w:p>
    <w:p>
      <w:pPr>
        <w:pStyle w:val="Normal"/>
        <w:tabs>
          <w:tab w:val="clear" w:pos="720"/>
          <w:tab w:val="left" w:pos="2160" w:leader="none"/>
        </w:tabs>
        <w:bidi w:val="0"/>
        <w:ind w:hanging="180" w:start="2160"/>
        <w:jc w:val="both"/>
        <w:rPr>
          <w:rFonts w:ascii="Times New Roman" w:hAnsi="Times New Roman"/>
          <w:u w:val="single"/>
        </w:rPr>
      </w:pPr>
      <w:r>
        <w:rPr>
          <w:rFonts w:ascii="Times New Roman" w:hAnsi="Times New Roman"/>
          <w:u w:val="single"/>
        </w:rPr>
        <w:t>i.</w:t>
      </w:r>
      <w:r>
        <w:rPr>
          <w:rFonts w:ascii="Times New Roman" w:hAnsi="Times New Roman"/>
        </w:rPr>
        <w:tab/>
      </w:r>
      <w:r>
        <w:rPr>
          <w:rFonts w:ascii="Times New Roman" w:hAnsi="Times New Roman"/>
          <w:u w:val="single"/>
        </w:rPr>
        <w:t>PJM Western Hub: Daily preschedule by 12:00 pm EPT on business day prior to delivery</w:t>
      </w:r>
    </w:p>
    <w:p>
      <w:pPr>
        <w:pStyle w:val="Normal"/>
        <w:tabs>
          <w:tab w:val="clear" w:pos="720"/>
          <w:tab w:val="left" w:pos="2160" w:leader="none"/>
        </w:tabs>
        <w:bidi w:val="0"/>
        <w:ind w:hanging="180" w:start="2160"/>
        <w:jc w:val="both"/>
        <w:rPr>
          <w:rFonts w:ascii="Times New Roman" w:hAnsi="Times New Roman"/>
          <w:u w:val="single"/>
        </w:rPr>
      </w:pPr>
      <w:r>
        <w:rPr>
          <w:rFonts w:ascii="Times New Roman" w:hAnsi="Times New Roman"/>
          <w:u w:val="single"/>
        </w:rPr>
        <w:t>ii.</w:t>
      </w:r>
      <w:r>
        <w:rPr>
          <w:rFonts w:ascii="Times New Roman" w:hAnsi="Times New Roman"/>
        </w:rPr>
        <w:tab/>
      </w:r>
      <w:r>
        <w:rPr>
          <w:rFonts w:ascii="Times New Roman" w:hAnsi="Times New Roman"/>
          <w:u w:val="single"/>
        </w:rPr>
        <w:t xml:space="preserve">Into TVA/Cinergy/Entergy/ComEd/Ameren/SOCO: Daily preschedule by 11:00 am CPT on the business day prior to delivery. </w:t>
      </w:r>
    </w:p>
    <w:p>
      <w:pPr>
        <w:pStyle w:val="Normal"/>
        <w:tabs>
          <w:tab w:val="clear" w:pos="720"/>
          <w:tab w:val="left" w:pos="2160" w:leader="none"/>
        </w:tabs>
        <w:bidi w:val="0"/>
        <w:ind w:hanging="180" w:start="2160"/>
        <w:jc w:val="both"/>
        <w:rPr>
          <w:rFonts w:ascii="Times New Roman" w:hAnsi="Times New Roman"/>
          <w:u w:val="single"/>
        </w:rPr>
      </w:pPr>
      <w:r>
        <w:rPr>
          <w:rFonts w:ascii="Times New Roman" w:hAnsi="Times New Roman"/>
          <w:u w:val="single"/>
        </w:rPr>
        <w:t>iii.</w:t>
      </w:r>
      <w:r>
        <w:rPr>
          <w:rFonts w:ascii="Times New Roman" w:hAnsi="Times New Roman"/>
        </w:rPr>
        <w:tab/>
      </w:r>
      <w:r>
        <w:rPr>
          <w:rFonts w:ascii="Times New Roman" w:hAnsi="Times New Roman"/>
          <w:u w:val="single"/>
        </w:rPr>
        <w:t>ERCOT: Daily preschedule by 10:00 am CPT on business day prior to delivery.</w:t>
      </w:r>
    </w:p>
    <w:p>
      <w:pPr>
        <w:pStyle w:val="Normal"/>
        <w:bidi w:val="0"/>
        <w:ind w:hanging="0" w:start="1080"/>
        <w:jc w:val="both"/>
        <w:rPr>
          <w:rFonts w:ascii="Times New Roman" w:hAnsi="Times New Roman"/>
          <w:u w:val="single"/>
        </w:rPr>
      </w:pPr>
      <w:r>
        <w:rPr>
          <w:rFonts w:ascii="Times New Roman" w:hAnsi="Times New Roman"/>
          <w:u w:val="single"/>
        </w:rPr>
      </w:r>
    </w:p>
    <w:p>
      <w:pPr>
        <w:pStyle w:val="Normal"/>
        <w:tabs>
          <w:tab w:val="clear" w:pos="720"/>
          <w:tab w:val="left" w:pos="1440" w:leader="none"/>
        </w:tabs>
        <w:bidi w:val="0"/>
        <w:ind w:hanging="360" w:start="1440"/>
        <w:jc w:val="both"/>
        <w:rPr>
          <w:rFonts w:ascii="Times New Roman" w:hAnsi="Times New Roman"/>
          <w:u w:val="single"/>
        </w:rPr>
      </w:pPr>
      <w:r>
        <w:rPr>
          <w:rFonts w:ascii="Times New Roman" w:hAnsi="Times New Roman"/>
          <w:u w:val="single"/>
        </w:rPr>
        <w:t>b.</w:t>
      </w:r>
      <w:r>
        <w:rPr>
          <w:rFonts w:ascii="Times New Roman" w:hAnsi="Times New Roman"/>
        </w:rPr>
        <w:tab/>
      </w:r>
      <w:r>
        <w:rPr>
          <w:rFonts w:ascii="Times New Roman" w:hAnsi="Times New Roman"/>
          <w:u w:val="single"/>
        </w:rPr>
        <w:t>Scheduling Contacts for East:</w:t>
      </w:r>
    </w:p>
    <w:p>
      <w:pPr>
        <w:pStyle w:val="Normal"/>
        <w:bidi w:val="0"/>
        <w:jc w:val="both"/>
        <w:rPr>
          <w:rFonts w:ascii="Times New Roman" w:hAnsi="Times New Roman"/>
          <w:u w:val="single"/>
        </w:rPr>
      </w:pPr>
      <w:r>
        <w:rPr>
          <w:rFonts w:ascii="Times New Roman" w:hAnsi="Times New Roman"/>
          <w:u w:val="single"/>
        </w:rPr>
      </w:r>
    </w:p>
    <w:p>
      <w:pPr>
        <w:pStyle w:val="Normal"/>
        <w:tabs>
          <w:tab w:val="clear" w:pos="720"/>
          <w:tab w:val="left" w:pos="2160" w:leader="none"/>
        </w:tabs>
        <w:bidi w:val="0"/>
        <w:ind w:hanging="180" w:start="2160"/>
        <w:jc w:val="both"/>
        <w:rPr>
          <w:rFonts w:ascii="Times New Roman" w:hAnsi="Times New Roman"/>
          <w:u w:val="single"/>
        </w:rPr>
      </w:pPr>
      <w:r>
        <w:rPr>
          <w:rFonts w:ascii="Times New Roman" w:hAnsi="Times New Roman"/>
          <w:u w:val="single"/>
        </w:rPr>
        <w:t>i.</w:t>
      </w:r>
      <w:r>
        <w:rPr>
          <w:rFonts w:ascii="Times New Roman" w:hAnsi="Times New Roman"/>
        </w:rPr>
        <w:tab/>
      </w:r>
      <w:r>
        <w:rPr>
          <w:rFonts w:ascii="Times New Roman" w:hAnsi="Times New Roman"/>
          <w:u w:val="single"/>
        </w:rPr>
        <w:t>EPMI Real Time Operations:    1-800-349-5527</w:t>
      </w:r>
    </w:p>
    <w:p>
      <w:pPr>
        <w:pStyle w:val="Normal"/>
        <w:tabs>
          <w:tab w:val="clear" w:pos="720"/>
          <w:tab w:val="left" w:pos="2160" w:leader="none"/>
        </w:tabs>
        <w:bidi w:val="0"/>
        <w:ind w:hanging="180" w:start="2160"/>
        <w:jc w:val="both"/>
        <w:rPr>
          <w:rFonts w:ascii="Times New Roman" w:hAnsi="Times New Roman"/>
          <w:u w:val="single"/>
        </w:rPr>
      </w:pPr>
      <w:r>
        <w:rPr>
          <w:rFonts w:ascii="Times New Roman" w:hAnsi="Times New Roman"/>
          <w:u w:val="single"/>
        </w:rPr>
        <w:t>ii.</w:t>
      </w:r>
      <w:r>
        <w:rPr>
          <w:rFonts w:ascii="Times New Roman" w:hAnsi="Times New Roman"/>
        </w:rPr>
        <w:tab/>
      </w:r>
      <w:r>
        <w:rPr>
          <w:rFonts w:ascii="Times New Roman" w:hAnsi="Times New Roman"/>
          <w:u w:val="single"/>
        </w:rPr>
        <w:t>AEMC:    ___________________-</w:t>
      </w:r>
    </w:p>
    <w:p>
      <w:pPr>
        <w:pStyle w:val="Normal"/>
        <w:bidi w:val="0"/>
        <w:ind w:hanging="0" w:start="1980"/>
        <w:jc w:val="both"/>
        <w:rPr>
          <w:rFonts w:ascii="Times New Roman" w:hAnsi="Times New Roman"/>
          <w:u w:val="single"/>
        </w:rPr>
      </w:pPr>
      <w:r>
        <w:rPr>
          <w:rFonts w:ascii="Times New Roman" w:hAnsi="Times New Roman"/>
          <w:u w:val="single"/>
        </w:rPr>
      </w:r>
    </w:p>
    <w:p>
      <w:pPr>
        <w:pStyle w:val="Normal"/>
        <w:tabs>
          <w:tab w:val="clear" w:pos="720"/>
          <w:tab w:val="left" w:pos="1440" w:leader="none"/>
        </w:tabs>
        <w:bidi w:val="0"/>
        <w:ind w:hanging="360" w:start="1440"/>
        <w:jc w:val="both"/>
        <w:rPr>
          <w:rFonts w:ascii="Times New Roman" w:hAnsi="Times New Roman"/>
          <w:u w:val="single"/>
        </w:rPr>
      </w:pPr>
      <w:r>
        <w:rPr>
          <w:rFonts w:ascii="Times New Roman" w:hAnsi="Times New Roman"/>
          <w:u w:val="single"/>
        </w:rPr>
        <w:t>c.</w:t>
      </w:r>
      <w:r>
        <w:rPr>
          <w:rFonts w:ascii="Times New Roman" w:hAnsi="Times New Roman"/>
        </w:rPr>
        <w:tab/>
      </w:r>
      <w:r>
        <w:rPr>
          <w:rFonts w:ascii="Times New Roman" w:hAnsi="Times New Roman"/>
          <w:u w:val="single"/>
        </w:rPr>
        <w:t>Scheduling Contacts for West:</w:t>
      </w:r>
    </w:p>
    <w:p>
      <w:pPr>
        <w:pStyle w:val="Normal"/>
        <w:bidi w:val="0"/>
        <w:jc w:val="both"/>
        <w:rPr>
          <w:rFonts w:ascii="Times New Roman" w:hAnsi="Times New Roman"/>
          <w:u w:val="single"/>
        </w:rPr>
      </w:pPr>
      <w:r>
        <w:rPr>
          <w:rFonts w:ascii="Times New Roman" w:hAnsi="Times New Roman"/>
          <w:u w:val="single"/>
        </w:rPr>
      </w:r>
    </w:p>
    <w:p>
      <w:pPr>
        <w:pStyle w:val="Normal"/>
        <w:tabs>
          <w:tab w:val="clear" w:pos="720"/>
          <w:tab w:val="left" w:pos="2160" w:leader="none"/>
        </w:tabs>
        <w:bidi w:val="0"/>
        <w:ind w:hanging="180" w:start="2160"/>
        <w:jc w:val="both"/>
        <w:rPr>
          <w:rFonts w:ascii="Times New Roman" w:hAnsi="Times New Roman"/>
          <w:u w:val="single"/>
        </w:rPr>
      </w:pPr>
      <w:r>
        <w:rPr>
          <w:rFonts w:ascii="Times New Roman" w:hAnsi="Times New Roman"/>
          <w:u w:val="single"/>
        </w:rPr>
        <w:t>i.</w:t>
      </w:r>
      <w:r>
        <w:rPr>
          <w:rFonts w:ascii="Times New Roman" w:hAnsi="Times New Roman"/>
        </w:rPr>
        <w:tab/>
      </w:r>
      <w:r>
        <w:rPr>
          <w:rFonts w:ascii="Times New Roman" w:hAnsi="Times New Roman"/>
          <w:u w:val="single"/>
        </w:rPr>
        <w:t>EPMI Real Time Operations:    1-800-684-1336</w:t>
      </w:r>
    </w:p>
    <w:p>
      <w:pPr>
        <w:pStyle w:val="Normal"/>
        <w:tabs>
          <w:tab w:val="clear" w:pos="720"/>
          <w:tab w:val="left" w:pos="2160" w:leader="none"/>
        </w:tabs>
        <w:bidi w:val="0"/>
        <w:ind w:hanging="180" w:start="2160"/>
        <w:jc w:val="both"/>
        <w:rPr>
          <w:rFonts w:ascii="Times New Roman" w:hAnsi="Times New Roman"/>
          <w:u w:val="single"/>
        </w:rPr>
      </w:pPr>
      <w:r>
        <w:rPr>
          <w:rFonts w:ascii="Times New Roman" w:hAnsi="Times New Roman"/>
          <w:u w:val="single"/>
        </w:rPr>
        <w:t>ii.</w:t>
      </w:r>
      <w:r>
        <w:rPr>
          <w:rFonts w:ascii="Times New Roman" w:hAnsi="Times New Roman"/>
        </w:rPr>
        <w:tab/>
      </w:r>
      <w:r>
        <w:rPr>
          <w:rFonts w:ascii="Times New Roman" w:hAnsi="Times New Roman"/>
          <w:u w:val="single"/>
        </w:rPr>
        <w:t>AEMC:_________________________</w:t>
      </w:r>
    </w:p>
    <w:p>
      <w:pPr>
        <w:pStyle w:val="Normal"/>
        <w:bidi w:val="0"/>
        <w:ind w:hanging="0" w:start="360"/>
        <w:jc w:val="both"/>
        <w:rPr>
          <w:rFonts w:ascii="Times New Roman" w:hAnsi="Times New Roman"/>
          <w:u w:val="single"/>
        </w:rPr>
      </w:pPr>
      <w:r>
        <w:rPr>
          <w:rFonts w:ascii="Times New Roman" w:hAnsi="Times New Roman"/>
          <w:u w:val="single"/>
        </w:rPr>
      </w:r>
    </w:p>
    <w:p>
      <w:pPr>
        <w:pStyle w:val="Normal"/>
        <w:bidi w:val="0"/>
        <w:ind w:hanging="0" w:start="360"/>
        <w:jc w:val="both"/>
        <w:rPr>
          <w:rFonts w:ascii="Times New Roman" w:hAnsi="Times New Roman"/>
          <w:u w:val="single"/>
        </w:rPr>
      </w:pPr>
      <w:r>
        <w:rPr>
          <w:rFonts w:ascii="Times New Roman" w:hAnsi="Times New Roman"/>
          <w:u w:val="single"/>
        </w:rPr>
      </w:r>
    </w:p>
    <w:p>
      <w:pPr>
        <w:pStyle w:val="Normal"/>
        <w:bidi w:val="0"/>
        <w:ind w:hanging="0" w:start="360"/>
        <w:jc w:val="both"/>
        <w:rPr>
          <w:rFonts w:ascii="Times New Roman" w:hAnsi="Times New Roman"/>
          <w:u w:val="single"/>
        </w:rPr>
      </w:pPr>
      <w:r>
        <w:rPr>
          <w:rFonts w:ascii="Times New Roman" w:hAnsi="Times New Roman"/>
          <w:u w:val="single"/>
        </w:rPr>
      </w:r>
    </w:p>
    <w:p>
      <w:pPr>
        <w:pStyle w:val="Normal"/>
        <w:bidi w:val="0"/>
        <w:ind w:hanging="0" w:start="360"/>
        <w:jc w:val="both"/>
        <w:rPr>
          <w:rFonts w:ascii="Times New Roman" w:hAnsi="Times New Roman"/>
          <w:u w:val="single"/>
        </w:rPr>
      </w:pPr>
      <w:r>
        <w:rPr>
          <w:rFonts w:ascii="Times New Roman" w:hAnsi="Times New Roman"/>
          <w:u w:val="single"/>
        </w:rPr>
      </w:r>
    </w:p>
    <w:p>
      <w:pPr>
        <w:pStyle w:val="Normal"/>
        <w:bidi w:val="0"/>
        <w:ind w:hanging="0" w:start="360"/>
        <w:jc w:val="both"/>
        <w:rPr>
          <w:rFonts w:ascii="Times New Roman" w:hAnsi="Times New Roman"/>
          <w:u w:val="single"/>
        </w:rPr>
      </w:pPr>
      <w:r>
        <w:rPr>
          <w:rFonts w:ascii="Times New Roman" w:hAnsi="Times New Roman"/>
          <w:u w:val="single"/>
        </w:rPr>
      </w:r>
    </w:p>
    <w:p>
      <w:pPr>
        <w:pStyle w:val="Normal"/>
        <w:bidi w:val="0"/>
        <w:ind w:hanging="0" w:start="360"/>
        <w:jc w:val="both"/>
        <w:rPr>
          <w:rFonts w:ascii="Times New Roman" w:hAnsi="Times New Roman"/>
          <w:u w:val="single"/>
        </w:rPr>
      </w:pPr>
      <w:r>
        <w:rPr>
          <w:rFonts w:ascii="Times New Roman" w:hAnsi="Times New Roman"/>
          <w:u w:val="single"/>
        </w:rPr>
        <w:t>Options.    The following provisions shall apply to EOL Transactions that involve the purchase or sale of an option under the Power Master:</w:t>
      </w:r>
    </w:p>
    <w:p>
      <w:pPr>
        <w:pStyle w:val="Normal"/>
        <w:bidi w:val="0"/>
        <w:ind w:hanging="0" w:start="360"/>
        <w:jc w:val="both"/>
        <w:rPr>
          <w:rFonts w:ascii="Times New Roman" w:hAnsi="Times New Roman"/>
          <w:u w:val="single"/>
        </w:rPr>
      </w:pPr>
      <w:r>
        <w:rPr>
          <w:rFonts w:ascii="Times New Roman" w:hAnsi="Times New Roman"/>
          <w:u w:val="single"/>
        </w:rPr>
      </w:r>
    </w:p>
    <w:p>
      <w:pPr>
        <w:pStyle w:val="Normal"/>
        <w:tabs>
          <w:tab w:val="clear" w:pos="720"/>
          <w:tab w:val="left" w:pos="1440" w:leader="none"/>
        </w:tabs>
        <w:bidi w:val="0"/>
        <w:ind w:hanging="360" w:start="1440"/>
        <w:jc w:val="both"/>
        <w:rPr>
          <w:rFonts w:ascii="Times New Roman" w:hAnsi="Times New Roman"/>
          <w:u w:val="single"/>
        </w:rPr>
      </w:pPr>
      <w:r>
        <w:rPr>
          <w:rFonts w:ascii="Times New Roman" w:hAnsi="Times New Roman"/>
          <w:u w:val="single"/>
        </w:rPr>
        <w:t>d.</w:t>
      </w:r>
      <w:r>
        <w:rPr>
          <w:rFonts w:ascii="Times New Roman" w:hAnsi="Times New Roman"/>
        </w:rPr>
        <w:tab/>
      </w:r>
      <w:r>
        <w:rPr>
          <w:rFonts w:ascii="Times New Roman" w:hAnsi="Times New Roman"/>
          <w:u w:val="single"/>
        </w:rPr>
        <w:t>Contact Information for exercise of option:</w:t>
      </w:r>
    </w:p>
    <w:p>
      <w:pPr>
        <w:pStyle w:val="Normal"/>
        <w:bidi w:val="0"/>
        <w:jc w:val="both"/>
        <w:rPr>
          <w:rFonts w:ascii="Times New Roman" w:hAnsi="Times New Roman"/>
          <w:u w:val="single"/>
        </w:rPr>
      </w:pPr>
      <w:r>
        <w:rPr>
          <w:rFonts w:ascii="Times New Roman" w:hAnsi="Times New Roman"/>
          <w:u w:val="single"/>
        </w:rPr>
      </w:r>
    </w:p>
    <w:p>
      <w:pPr>
        <w:pStyle w:val="Normal"/>
        <w:tabs>
          <w:tab w:val="clear" w:pos="720"/>
          <w:tab w:val="left" w:pos="2160" w:leader="none"/>
        </w:tabs>
        <w:bidi w:val="0"/>
        <w:ind w:hanging="180" w:start="2160"/>
        <w:jc w:val="both"/>
        <w:rPr>
          <w:rFonts w:ascii="Times New Roman" w:hAnsi="Times New Roman"/>
          <w:u w:val="single"/>
        </w:rPr>
      </w:pPr>
      <w:r>
        <w:rPr>
          <w:rFonts w:ascii="Times New Roman" w:hAnsi="Times New Roman"/>
          <w:u w:val="single"/>
        </w:rPr>
        <w:t>i.</w:t>
      </w:r>
      <w:r>
        <w:rPr>
          <w:rFonts w:ascii="Times New Roman" w:hAnsi="Times New Roman"/>
        </w:rPr>
        <w:tab/>
      </w:r>
      <w:r>
        <w:rPr>
          <w:rFonts w:ascii="Times New Roman" w:hAnsi="Times New Roman"/>
          <w:u w:val="single"/>
        </w:rPr>
        <w:t>West:</w:t>
      </w:r>
    </w:p>
    <w:p>
      <w:pPr>
        <w:pStyle w:val="Normal"/>
        <w:tabs>
          <w:tab w:val="clear" w:pos="720"/>
          <w:tab w:val="left" w:pos="2880" w:leader="none"/>
        </w:tabs>
        <w:bidi w:val="0"/>
        <w:ind w:hanging="360" w:start="2880"/>
        <w:jc w:val="both"/>
        <w:rPr>
          <w:rFonts w:ascii="Times New Roman" w:hAnsi="Times New Roman"/>
          <w:u w:val="single"/>
        </w:rPr>
      </w:pPr>
      <w:r>
        <w:rPr>
          <w:rFonts w:ascii="Times New Roman" w:hAnsi="Times New Roman"/>
          <w:u w:val="single"/>
        </w:rPr>
        <w:t>1.</w:t>
      </w:r>
      <w:r>
        <w:rPr>
          <w:rFonts w:ascii="Times New Roman" w:hAnsi="Times New Roman"/>
        </w:rPr>
        <w:tab/>
      </w:r>
      <w:r>
        <w:rPr>
          <w:rFonts w:ascii="Times New Roman" w:hAnsi="Times New Roman"/>
          <w:u w:val="single"/>
        </w:rPr>
        <w:t>Enron:    1-800-684-1336</w:t>
      </w:r>
    </w:p>
    <w:p>
      <w:pPr>
        <w:pStyle w:val="Normal"/>
        <w:tabs>
          <w:tab w:val="clear" w:pos="720"/>
          <w:tab w:val="left" w:pos="2880" w:leader="none"/>
        </w:tabs>
        <w:bidi w:val="0"/>
        <w:ind w:hanging="360" w:start="2880"/>
        <w:jc w:val="both"/>
        <w:rPr>
          <w:rFonts w:ascii="Times New Roman" w:hAnsi="Times New Roman"/>
          <w:u w:val="single"/>
        </w:rPr>
      </w:pPr>
      <w:r>
        <w:rPr>
          <w:rFonts w:ascii="Times New Roman" w:hAnsi="Times New Roman"/>
          <w:u w:val="single"/>
        </w:rPr>
        <w:t>2.</w:t>
      </w:r>
      <w:r>
        <w:rPr>
          <w:rFonts w:ascii="Times New Roman" w:hAnsi="Times New Roman"/>
        </w:rPr>
        <w:tab/>
      </w:r>
      <w:r>
        <w:rPr>
          <w:rFonts w:ascii="Times New Roman" w:hAnsi="Times New Roman"/>
          <w:u w:val="single"/>
        </w:rPr>
        <w:t>AEMC:____________</w:t>
      </w:r>
    </w:p>
    <w:p>
      <w:pPr>
        <w:pStyle w:val="Normal"/>
        <w:tabs>
          <w:tab w:val="clear" w:pos="720"/>
          <w:tab w:val="left" w:pos="2160" w:leader="none"/>
        </w:tabs>
        <w:bidi w:val="0"/>
        <w:ind w:hanging="180" w:start="2160"/>
        <w:jc w:val="both"/>
        <w:rPr>
          <w:rFonts w:ascii="Times New Roman" w:hAnsi="Times New Roman"/>
          <w:u w:val="single"/>
        </w:rPr>
      </w:pPr>
      <w:r>
        <w:rPr>
          <w:rFonts w:ascii="Times New Roman" w:hAnsi="Times New Roman"/>
          <w:u w:val="single"/>
        </w:rPr>
        <w:t>ii.</w:t>
      </w:r>
      <w:r>
        <w:rPr>
          <w:rFonts w:ascii="Times New Roman" w:hAnsi="Times New Roman"/>
        </w:rPr>
        <w:tab/>
      </w:r>
      <w:r>
        <w:rPr>
          <w:rFonts w:ascii="Times New Roman" w:hAnsi="Times New Roman"/>
          <w:u w:val="single"/>
        </w:rPr>
        <w:t>East</w:t>
      </w:r>
    </w:p>
    <w:p>
      <w:pPr>
        <w:pStyle w:val="Normal"/>
        <w:tabs>
          <w:tab w:val="clear" w:pos="720"/>
          <w:tab w:val="left" w:pos="2880" w:leader="none"/>
        </w:tabs>
        <w:bidi w:val="0"/>
        <w:ind w:hanging="360" w:start="2880"/>
        <w:jc w:val="both"/>
        <w:rPr>
          <w:rFonts w:ascii="Times New Roman" w:hAnsi="Times New Roman"/>
          <w:u w:val="single"/>
        </w:rPr>
      </w:pPr>
      <w:r>
        <w:rPr>
          <w:rFonts w:ascii="Times New Roman" w:hAnsi="Times New Roman"/>
          <w:u w:val="single"/>
        </w:rPr>
        <w:t>1.</w:t>
      </w:r>
      <w:r>
        <w:rPr>
          <w:rFonts w:ascii="Times New Roman" w:hAnsi="Times New Roman"/>
        </w:rPr>
        <w:tab/>
      </w:r>
      <w:r>
        <w:rPr>
          <w:rFonts w:ascii="Times New Roman" w:hAnsi="Times New Roman"/>
          <w:u w:val="single"/>
        </w:rPr>
        <w:t xml:space="preserve">Enron:    1-877-367-6601    </w:t>
      </w:r>
    </w:p>
    <w:p>
      <w:pPr>
        <w:pStyle w:val="Normal"/>
        <w:tabs>
          <w:tab w:val="clear" w:pos="720"/>
          <w:tab w:val="left" w:pos="2880" w:leader="none"/>
        </w:tabs>
        <w:bidi w:val="0"/>
        <w:ind w:hanging="360" w:start="2880"/>
        <w:jc w:val="both"/>
        <w:rPr>
          <w:rFonts w:ascii="Times New Roman" w:hAnsi="Times New Roman"/>
          <w:u w:val="single"/>
        </w:rPr>
      </w:pPr>
      <w:r>
        <w:rPr>
          <w:rFonts w:ascii="Times New Roman" w:hAnsi="Times New Roman"/>
          <w:u w:val="single"/>
        </w:rPr>
        <w:t>2.</w:t>
      </w:r>
      <w:r>
        <w:rPr>
          <w:rFonts w:ascii="Times New Roman" w:hAnsi="Times New Roman"/>
        </w:rPr>
        <w:tab/>
      </w:r>
      <w:r>
        <w:rPr>
          <w:rFonts w:ascii="Times New Roman" w:hAnsi="Times New Roman"/>
          <w:u w:val="single"/>
        </w:rPr>
        <w:t>AEMC:____________</w:t>
      </w:r>
    </w:p>
    <w:p>
      <w:pPr>
        <w:pStyle w:val="Normal"/>
        <w:bidi w:val="0"/>
        <w:jc w:val="both"/>
        <w:rPr>
          <w:rFonts w:ascii="Times New Roman" w:hAnsi="Times New Roman"/>
          <w:u w:val="single"/>
        </w:rPr>
      </w:pPr>
      <w:r>
        <w:rPr>
          <w:rFonts w:ascii="Times New Roman" w:hAnsi="Times New Roman"/>
          <w:u w:val="single"/>
        </w:rPr>
      </w:r>
    </w:p>
    <w:p>
      <w:pPr>
        <w:pStyle w:val="Normal"/>
        <w:bidi w:val="0"/>
        <w:jc w:val="both"/>
        <w:rPr>
          <w:rFonts w:ascii="Times New Roman" w:hAnsi="Times New Roman"/>
        </w:rPr>
      </w:pPr>
      <w:r>
        <w:rPr>
          <w:rFonts w:ascii="Times New Roman" w:hAnsi="Times New Roman"/>
          <w:u w:val="single"/>
        </w:rPr>
        <w:t>Definitions; Conflicts.</w:t>
      </w:r>
      <w:r>
        <w:rPr>
          <w:rFonts w:ascii="Times New Roman" w:hAnsi="Times New Roman"/>
        </w:rPr>
        <w:t xml:space="preserve">    </w:t>
      </w:r>
      <w:r>
        <w:rPr>
          <w:rFonts w:ascii="Times New Roman" w:hAnsi="Times New Roman"/>
          <w:u w:val="single"/>
        </w:rPr>
        <w:t xml:space="preserve">Capitalized terms used in this Annex A, but not defined, shall have the meanings set forth in the Power Master. Notwithstanding any contrary provisions in the Power Master, any conflict between this Amendment and the Power Master shall be resolved in favor of this Amendment. </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r>
        <w:br w:type="page"/>
      </w:r>
    </w:p>
    <w:p>
      <w:pPr>
        <w:pStyle w:val="Normal"/>
        <w:bidi w:val="0"/>
        <w:jc w:val="center"/>
        <w:rPr>
          <w:rFonts w:ascii="Times New Roman" w:hAnsi="Times New Roman"/>
          <w:b/>
          <w:u w:val="single"/>
        </w:rPr>
      </w:pPr>
      <w:r>
        <w:rPr>
          <w:rFonts w:ascii="Times New Roman" w:hAnsi="Times New Roman"/>
          <w:b/>
          <w:u w:val="single"/>
        </w:rPr>
        <w:t>ANNEX B</w:t>
      </w:r>
    </w:p>
    <w:p>
      <w:pPr>
        <w:pStyle w:val="Normal"/>
        <w:bidi w:val="0"/>
        <w:jc w:val="center"/>
        <w:rPr>
          <w:rFonts w:ascii="Times New Roman" w:hAnsi="Times New Roman"/>
          <w:b/>
          <w:u w:val="single"/>
        </w:rPr>
      </w:pPr>
      <w:r>
        <w:rPr>
          <w:rFonts w:ascii="Times New Roman" w:hAnsi="Times New Roman"/>
          <w:b/>
          <w:u w:val="single"/>
        </w:rPr>
      </w:r>
    </w:p>
    <w:p>
      <w:pPr>
        <w:pStyle w:val="Normal"/>
        <w:bidi w:val="0"/>
        <w:jc w:val="both"/>
        <w:rPr>
          <w:rFonts w:ascii="Times New Roman" w:hAnsi="Times New Roman"/>
        </w:rPr>
      </w:pPr>
      <w:r>
        <w:rPr>
          <w:rFonts w:ascii="Times New Roman" w:hAnsi="Times New Roman"/>
        </w:rPr>
        <w:t>The ARMC ISDA Master is hereby amended by deleting item (h) under Part 5(b) of the Schedule thereto and substituting the following therefor:</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 xml:space="preserve">(h) </w:t>
      </w:r>
      <w:r>
        <w:rPr>
          <w:rFonts w:ascii="Times New Roman" w:hAnsi="Times New Roman"/>
          <w:b/>
        </w:rPr>
        <w:t>Eligibility</w:t>
      </w:r>
      <w:r>
        <w:rPr>
          <w:rFonts w:ascii="Times New Roman" w:hAnsi="Times New Roman"/>
        </w:rPr>
        <w:t>:    It constitutes an “eligible contract participant” as such term is defined in the Commodity Exchange Act, as amended, 7 U.S.C. § 1a(12), and it constitutes an “eligible commercial entity” as such term is defined in the Commodity Exchange Act, as amended, 7 U.S.C. §1a(11).</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The ARMC ISDA Master, the ACC ISDA Master and the ACT ISDA Master are each hereby amended by adding the following Part 7 at the end of the Schedule thereto:</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b/>
        </w:rPr>
      </w:pPr>
      <w:r>
        <w:rPr>
          <w:rFonts w:ascii="Times New Roman" w:hAnsi="Times New Roman"/>
          <w:b/>
        </w:rPr>
        <w:t>Part 7.    Certain Rounding Conventions.</w:t>
      </w:r>
    </w:p>
    <w:p>
      <w:pPr>
        <w:pStyle w:val="Normal"/>
        <w:bidi w:val="0"/>
        <w:jc w:val="both"/>
        <w:rPr>
          <w:rFonts w:ascii="Times New Roman" w:hAnsi="Times New Roman"/>
          <w:b/>
        </w:rPr>
      </w:pPr>
      <w:r>
        <w:rPr>
          <w:rFonts w:ascii="Times New Roman" w:hAnsi="Times New Roman"/>
          <w:b/>
        </w:rPr>
      </w:r>
    </w:p>
    <w:p>
      <w:pPr>
        <w:pStyle w:val="Normal"/>
        <w:bidi w:val="0"/>
        <w:jc w:val="both"/>
        <w:rPr>
          <w:rFonts w:ascii="Times New Roman" w:hAnsi="Times New Roman"/>
        </w:rPr>
      </w:pPr>
      <w:r>
        <w:rPr>
          <w:rFonts w:ascii="Times New Roman" w:hAnsi="Times New Roman"/>
        </w:rPr>
        <w:t>The following rounding conventions shall apply for the purpose of calculating the Floating Price(s) with respect to applicable Transactions.</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(a)    Floating Price(s) relating to commodities quoted (i) in gallons shall be rounded to five places, (ii) in MMBtus shall be rounded to four places, (iii) in barrels shall be rounded to three places, and (iv) in gigajoules shall be rounded to four places.</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(b)    If the number after the final number is five or greater, then the final number shall be increased by one, and if the number after the final number is less than five then the final number shall remain unchanged.</w:t>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0</w:t>
                          </w:r>
                          <w:r>
                            <w:rPr>
                              <w:rStyle w:val="PageNumbe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0</w:t>
                    </w:r>
                    <w:r>
                      <w:rPr>
                        <w:rStyle w:val="PageNumber"/>
                        <w:sz w:val="24"/>
                        <w:rFonts w:ascii="Times New Roman" w:hAnsi="Times New Roman"/>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/mnt/main-storage/datasets/enron-docs/doc/AQUILA_EOL_CONSENT_RED.DOC</w:t>
    </w:r>
    <w:r>
      <w:rPr>
        <w:sz w:val="16"/>
        <w:rFonts w:ascii="Times New Roman" w:hAnsi="Times New Roman"/>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TopAndBottom/>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8</w:t>
                          </w:r>
                          <w:r>
                            <w:rPr>
                              <w:rStyle w:val="PageNumbe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8</w:t>
                    </w:r>
                    <w:r>
                      <w:rPr>
                        <w:rStyle w:val="PageNumber"/>
                        <w:sz w:val="24"/>
                        <w:rFonts w:ascii="Times New Roman" w:hAnsi="Times New Roman"/>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t>O:\legal\jhmoore\2000\Aquila EOL Consent3.doc</w:t>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spacing w:before="240" w:after="240"/>
      <w:jc w:val="center"/>
    </w:pPr>
    <w:rPr>
      <w:u w:val="single"/>
    </w:rPr>
  </w:style>
  <w:style w:type="paragraph" w:styleId="Heading2">
    <w:name w:val="heading 2"/>
    <w:basedOn w:val="Heading"/>
    <w:qFormat/>
    <w:pPr>
      <w:keepNext w:val="true"/>
      <w:jc w:val="both"/>
    </w:pPr>
    <w:rPr>
      <w:u w:val="single"/>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
    <w:name w:val="Body Text Indent"/>
    <w:basedOn w:val="BodyText"/>
    <w:pPr>
      <w:ind w:hanging="0" w:start="720"/>
      <w:jc w:val="both"/>
    </w:pPr>
    <w:rPr/>
  </w:style>
  <w:style w:type="paragraph" w:styleId="Title">
    <w:name w:val="Title"/>
    <w:basedOn w:val="Heading"/>
    <w:qFormat/>
    <w:pPr>
      <w:jc w:val="center"/>
    </w:pPr>
    <w:rPr>
      <w: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1916</Words>
  <CharactersWithSpaces>10923</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2001-08-06T14:56:00Z</dcterms:created>
  <dc:creator>mtaylo1</dc:creator>
  <dc:description/>
  <dc:language>en-CA</dc:language>
  <cp:lastModifiedBy/>
  <cp:lastPrinted>2001-08-08T09:22:00Z</cp:lastPrinted>
  <dcterms:modified xsi:type="dcterms:W3CDTF">2001-08-08T10:09:00Z</dcterms:modified>
  <cp:revision>13</cp:revision>
  <dc:subject/>
  <dc:title>CONSENT AND AMENDMENT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jhmoore</vt:lpwstr>
  </property>
</Properties>
</file>