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Draft Term Sheet</w:t>
      </w:r>
    </w:p>
    <w:p>
      <w:pPr>
        <w:pStyle w:val="Heading1"/>
        <w:ind w:hanging="0" w:start="0"/>
        <w:rPr>
          <w:rFonts w:ascii="Arial" w:hAnsi="Arial" w:cs="Arial"/>
        </w:rPr>
      </w:pPr>
      <w:r>
        <w:rPr>
          <w:rFonts w:cs="Arial" w:ascii="Arial" w:hAnsi="Arial"/>
        </w:rPr>
        <w:t>to</w:t>
      </w:r>
    </w:p>
    <w:p>
      <w:pPr>
        <w:pStyle w:val="Heading1"/>
        <w:ind w:hanging="0" w:start="0"/>
        <w:rPr>
          <w:rFonts w:ascii="Arial" w:hAnsi="Arial" w:cs="Arial"/>
        </w:rPr>
      </w:pPr>
      <w:r>
        <w:rPr>
          <w:rFonts w:cs="Arial" w:ascii="Arial" w:hAnsi="Arial"/>
        </w:rPr>
        <w:t>Air Products L.P. (“Air Products”)</w:t>
      </w:r>
    </w:p>
    <w:p>
      <w:pPr>
        <w:pStyle w:val="Heading1"/>
        <w:ind w:hanging="0" w:start="0"/>
        <w:rPr>
          <w:rFonts w:ascii="Arial" w:hAnsi="Arial" w:cs="Arial"/>
        </w:rPr>
      </w:pPr>
      <w:r>
        <w:rPr>
          <w:rFonts w:cs="Arial" w:ascii="Arial" w:hAnsi="Arial"/>
        </w:rPr>
        <w:t>by</w:t>
      </w:r>
    </w:p>
    <w:p>
      <w:pPr>
        <w:pStyle w:val="Heading1"/>
        <w:ind w:hanging="0" w:start="0"/>
        <w:rPr>
          <w:rFonts w:ascii="Arial" w:hAnsi="Arial" w:cs="Arial"/>
        </w:rPr>
      </w:pPr>
      <w:r>
        <w:rPr>
          <w:rFonts w:cs="Arial" w:ascii="Arial" w:hAnsi="Arial"/>
        </w:rPr>
        <w:t>Enron Power Marketing, Inc. (“EPMI”)</w:t>
      </w:r>
    </w:p>
    <w:p>
      <w:pPr>
        <w:pStyle w:val="Heading1"/>
        <w:ind w:hanging="0" w:start="0"/>
        <w:rPr>
          <w:rFonts w:ascii="Arial" w:hAnsi="Arial" w:cs="Arial"/>
        </w:rPr>
      </w:pPr>
      <w:r>
        <w:rPr>
          <w:rFonts w:cs="Arial" w:ascii="Arial" w:hAnsi="Arial"/>
        </w:rPr>
        <w:t>for the</w:t>
      </w:r>
    </w:p>
    <w:p>
      <w:pPr>
        <w:pStyle w:val="Heading1"/>
        <w:ind w:hanging="0" w:start="0"/>
        <w:rPr>
          <w:rFonts w:ascii="Arial" w:hAnsi="Arial" w:cs="Arial"/>
        </w:rPr>
      </w:pPr>
      <w:r>
        <w:rPr>
          <w:rFonts w:cs="Arial" w:ascii="Arial" w:hAnsi="Arial"/>
        </w:rPr>
        <w:t>Optimization of Air Products’ Interruptible Capability</w:t>
      </w:r>
    </w:p>
    <w:p>
      <w:pPr>
        <w:pStyle w:val="Heading1"/>
        <w:ind w:hanging="0" w:start="0"/>
        <w:rPr>
          <w:rFonts w:ascii="Arial" w:hAnsi="Arial" w:cs="Arial"/>
          <w:sz w:val="20"/>
        </w:rPr>
      </w:pPr>
      <w:r>
        <w:rPr>
          <w:rFonts w:cs="Arial" w:ascii="Arial" w:hAnsi="Arial"/>
          <w:sz w:val="20"/>
        </w:rPr>
      </w:r>
    </w:p>
    <w:p>
      <w:pPr>
        <w:pStyle w:val="Normal"/>
        <w:jc w:val="center"/>
        <w:rPr>
          <w:rFonts w:ascii="Arial" w:hAnsi="Arial" w:cs="Arial"/>
        </w:rPr>
      </w:pPr>
      <w:r>
        <w:rPr>
          <w:rFonts w:cs="Arial" w:ascii="Arial" w:hAnsi="Arial"/>
        </w:rPr>
        <w:t>November 5, 2001</w:t>
      </w:r>
    </w:p>
    <w:p>
      <w:pPr>
        <w:pStyle w:val="Normal"/>
        <w:rPr>
          <w:rFonts w:ascii="Arial" w:hAnsi="Arial" w:cs="Arial"/>
        </w:rPr>
      </w:pPr>
      <w:r>
        <w:rPr>
          <w:rFonts w:cs="Arial" w:ascii="Arial" w:hAnsi="Arial"/>
        </w:rPr>
      </w:r>
    </w:p>
    <w:p>
      <w:pPr>
        <w:pStyle w:val="BodyTextIndent"/>
        <w:jc w:val="both"/>
        <w:rPr>
          <w:rFonts w:ascii="Arial" w:hAnsi="Arial" w:cs="Arial"/>
        </w:rPr>
      </w:pPr>
      <w:r>
        <w:rPr>
          <w:rFonts w:cs="Arial"/>
        </w:rPr>
      </w:r>
    </w:p>
    <w:p>
      <w:pPr>
        <w:pStyle w:val="BodyTextIndent"/>
        <w:jc w:val="both"/>
        <w:rPr>
          <w:rFonts w:cs="Arial"/>
        </w:rPr>
      </w:pPr>
      <w:r>
        <w:rPr>
          <w:rFonts w:cs="Arial"/>
        </w:rPr>
      </w:r>
    </w:p>
    <w:p>
      <w:pPr>
        <w:pStyle w:val="BodyTextIndent"/>
        <w:jc w:val="both"/>
        <w:rPr/>
      </w:pPr>
      <w:r>
        <w:rPr>
          <w:rFonts w:cs="Arial"/>
          <w:b/>
          <w:bCs/>
        </w:rPr>
        <w:t>Summary:</w:t>
      </w:r>
      <w:r>
        <w:rPr>
          <w:rFonts w:cs="Arial"/>
        </w:rPr>
        <w:tab/>
        <w:t xml:space="preserve">This Draft Term Sheet is to provide Air Products a detailed explanation as to how EPMI proposes to provide opportunities for Air Products to utilize it instantaneous and noticed interruptible capabilities to reduce its firm power costs. EPMI welcomes a follow up meeting to further clarify the details provided below.  </w:t>
      </w:r>
    </w:p>
    <w:p>
      <w:pPr>
        <w:pStyle w:val="BodyTextIndent"/>
        <w:jc w:val="both"/>
        <w:rPr>
          <w:rFonts w:cs="Arial"/>
        </w:rPr>
      </w:pPr>
      <w:r>
        <w:rPr>
          <w:rFonts w:cs="Arial"/>
        </w:rPr>
      </w:r>
    </w:p>
    <w:p>
      <w:pPr>
        <w:pStyle w:val="BodyTextIndent"/>
        <w:ind w:hanging="0" w:end="0"/>
        <w:jc w:val="both"/>
        <w:rPr>
          <w:rFonts w:cs="Arial"/>
        </w:rPr>
      </w:pPr>
      <w:r>
        <w:rPr>
          <w:rFonts w:cs="Arial"/>
        </w:rPr>
        <w:t xml:space="preserve">EPMI goal is to build a long-term relationship with Air Products such that together we can use your extraordinary flexibility and our wholesale power expertise to produce substantial savings for Air Products. </w:t>
      </w:r>
    </w:p>
    <w:p>
      <w:pPr>
        <w:pStyle w:val="BodyText2"/>
        <w:ind w:hanging="2160" w:start="2160" w:end="0"/>
        <w:jc w:val="both"/>
        <w:rPr>
          <w:rFonts w:cs="Arial"/>
        </w:rPr>
      </w:pPr>
      <w:r>
        <w:rPr>
          <w:rFonts w:cs="Arial"/>
        </w:rPr>
      </w:r>
    </w:p>
    <w:p>
      <w:pPr>
        <w:pStyle w:val="BodyText2"/>
        <w:ind w:hanging="2160" w:start="2160" w:end="0"/>
        <w:jc w:val="both"/>
        <w:rPr>
          <w:rFonts w:cs="Arial"/>
        </w:rPr>
      </w:pPr>
      <w:r>
        <w:rPr>
          <w:rFonts w:cs="Arial"/>
        </w:rPr>
        <w:t xml:space="preserve">Proposal </w:t>
      </w:r>
    </w:p>
    <w:p>
      <w:pPr>
        <w:pStyle w:val="BodyText2"/>
        <w:ind w:hanging="2160" w:start="2160" w:end="0"/>
        <w:jc w:val="both"/>
        <w:rPr>
          <w:rFonts w:cs="Arial"/>
        </w:rPr>
      </w:pPr>
      <w:r>
        <w:rPr>
          <w:rFonts w:cs="Arial"/>
        </w:rPr>
        <w:t>Description:</w:t>
        <w:tab/>
      </w:r>
      <w:r>
        <w:rPr>
          <w:rFonts w:cs="Arial"/>
          <w:b w:val="false"/>
          <w:bCs/>
        </w:rPr>
        <w:t>EPMI believes that in order to best utilize Air Products’ capabilities a short and long-term strategy should be followed.  The short-term strategy takes Air Products’ capabilities and opportunistically applies them into the ERCOT market by leveraging the ERCOT Protocols as they exist now.  The long-term strategy involves analyzing ERCOT market conditions and Protocols as they evolve and determining if sufficient opportunity exists to warrant investment into metering and telemetry equipment to participate in the Load As a Resource (“LAR”) and Balancing Up Load (“BUL”) markets when they are revised in the Protocols.</w:t>
      </w:r>
    </w:p>
    <w:p>
      <w:pPr>
        <w:pStyle w:val="BodyText2"/>
        <w:ind w:hanging="2160" w:start="2160" w:end="0"/>
        <w:jc w:val="both"/>
        <w:rPr>
          <w:rFonts w:cs="Arial"/>
        </w:rPr>
      </w:pPr>
      <w:r>
        <w:rPr>
          <w:rFonts w:cs="Arial"/>
        </w:rPr>
      </w:r>
    </w:p>
    <w:p>
      <w:pPr>
        <w:pStyle w:val="BodyText2"/>
        <w:ind w:hanging="2160" w:start="2160" w:end="0"/>
        <w:jc w:val="both"/>
        <w:rPr>
          <w:rFonts w:cs="Arial"/>
          <w:u w:val="single"/>
        </w:rPr>
      </w:pPr>
      <w:r>
        <w:rPr>
          <w:rFonts w:cs="Arial"/>
          <w:u w:val="single"/>
        </w:rPr>
      </w:r>
    </w:p>
    <w:p>
      <w:pPr>
        <w:pStyle w:val="BodyText2"/>
        <w:ind w:hanging="2160" w:start="2160" w:end="0"/>
        <w:jc w:val="both"/>
        <w:rPr>
          <w:rFonts w:cs="Arial"/>
          <w:u w:val="single"/>
        </w:rPr>
      </w:pPr>
      <w:r>
        <w:rPr>
          <w:rFonts w:cs="Arial"/>
          <w:u w:val="single"/>
        </w:rPr>
        <w:t>Short-Term Strategy</w:t>
      </w:r>
    </w:p>
    <w:p>
      <w:pPr>
        <w:pStyle w:val="BodyText2"/>
        <w:jc w:val="both"/>
        <w:rPr>
          <w:rFonts w:cs="Arial"/>
          <w:u w:val="single"/>
        </w:rPr>
      </w:pPr>
      <w:r>
        <w:rPr>
          <w:rFonts w:cs="Arial"/>
          <w:u w:val="single"/>
        </w:rPr>
      </w:r>
    </w:p>
    <w:p>
      <w:pPr>
        <w:pStyle w:val="BodyText2"/>
        <w:jc w:val="both"/>
        <w:rPr>
          <w:rFonts w:cs="Arial"/>
          <w:b w:val="false"/>
          <w:bCs/>
        </w:rPr>
      </w:pPr>
      <w:r>
        <w:rPr>
          <w:rFonts w:cs="Arial"/>
          <w:b w:val="false"/>
          <w:bCs/>
        </w:rPr>
        <w:t xml:space="preserve">The short-term strategy involves close coordination between EPMI and Air Products’ Texas Central Energy desk and contemplates a power supply and Qualified Scheduling Entity services arrangement between Air Products and EPMI similar to what has been proposed by EPMI in Air Products’ RFP.  </w:t>
      </w:r>
    </w:p>
    <w:p>
      <w:pPr>
        <w:pStyle w:val="BodyText2"/>
        <w:jc w:val="both"/>
        <w:rPr>
          <w:rFonts w:cs="Arial"/>
          <w:b w:val="false"/>
          <w:bCs/>
        </w:rPr>
      </w:pPr>
      <w:r>
        <w:rPr>
          <w:rFonts w:cs="Arial"/>
          <w:b w:val="false"/>
          <w:bCs/>
        </w:rPr>
      </w:r>
    </w:p>
    <w:p>
      <w:pPr>
        <w:pStyle w:val="BodyText2"/>
        <w:jc w:val="both"/>
        <w:rPr>
          <w:rFonts w:cs="Arial"/>
          <w:b w:val="false"/>
          <w:bCs/>
        </w:rPr>
      </w:pPr>
      <w:r>
        <w:rPr>
          <w:rFonts w:cs="Arial"/>
          <w:b w:val="false"/>
          <w:bCs/>
        </w:rPr>
        <w:t>EPMI would work within Air Products operational capability and when economically favorable request a load interruption.  At such times EPMI makes a request, Air Products would confirm its feasibility and economics and either accept or decline the opportunity.  Details of this process and two alternative sharing mechanisms are described below:</w:t>
      </w:r>
    </w:p>
    <w:p>
      <w:pPr>
        <w:pStyle w:val="BodyText2"/>
        <w:ind w:hanging="2160" w:start="2160" w:end="0"/>
        <w:jc w:val="both"/>
        <w:rPr>
          <w:rFonts w:cs="Arial"/>
          <w:b w:val="false"/>
          <w:bCs/>
        </w:rPr>
      </w:pPr>
      <w:r>
        <w:rPr>
          <w:rFonts w:cs="Arial"/>
          <w:b w:val="false"/>
          <w:bCs/>
        </w:rPr>
      </w:r>
    </w:p>
    <w:p>
      <w:pPr>
        <w:pStyle w:val="BodyText2"/>
        <w:ind w:hanging="2160" w:start="2160" w:end="0"/>
        <w:jc w:val="both"/>
        <w:rPr/>
      </w:pPr>
      <w:r>
        <w:rPr>
          <w:rFonts w:cs="Arial"/>
        </w:rPr>
        <w:t>Communication:</w:t>
        <w:tab/>
      </w:r>
      <w:r>
        <w:rPr>
          <w:rFonts w:cs="Arial"/>
          <w:b w:val="false"/>
          <w:bCs/>
        </w:rPr>
        <w:t>Air Products and EPMI would communicate with each other via  telephone for notices and interruption agreements.  All such agreements would be followed by a written confirmation between the parties.  Scheduling, logging, and tracking real-time such interruption would continue to occur through the B2Bi solution that Air Products has proposed (EPMI and Air Products currently have testing for B2Bi solution scheduled for November 12</w:t>
      </w:r>
      <w:r>
        <w:rPr>
          <w:rFonts w:cs="Arial"/>
          <w:b w:val="false"/>
          <w:bCs/>
          <w:vertAlign w:val="superscript"/>
        </w:rPr>
        <w:t>th</w:t>
      </w:r>
      <w:r>
        <w:rPr>
          <w:rFonts w:cs="Arial"/>
          <w:b w:val="false"/>
          <w:bCs/>
        </w:rPr>
        <w:t>).  Part of any interruption agreement would include the “Opportunity Information” as following:</w:t>
      </w:r>
    </w:p>
    <w:p>
      <w:pPr>
        <w:pStyle w:val="BodyText2"/>
        <w:ind w:hanging="2160" w:start="2160" w:end="0"/>
        <w:jc w:val="both"/>
        <w:rPr>
          <w:rFonts w:cs="Arial"/>
          <w:b w:val="false"/>
          <w:bCs/>
        </w:rPr>
      </w:pPr>
      <w:r>
        <w:rPr>
          <w:rFonts w:cs="Arial"/>
          <w:b w:val="false"/>
          <w:bCs/>
        </w:rPr>
      </w:r>
    </w:p>
    <w:p>
      <w:pPr>
        <w:pStyle w:val="BodyText2"/>
        <w:numPr>
          <w:ilvl w:val="0"/>
          <w:numId w:val="2"/>
        </w:numPr>
        <w:jc w:val="both"/>
        <w:rPr>
          <w:rFonts w:cs="Arial"/>
          <w:b w:val="false"/>
          <w:bCs/>
        </w:rPr>
      </w:pPr>
      <w:r>
        <w:rPr>
          <w:rFonts w:cs="Arial"/>
          <w:b w:val="false"/>
          <w:bCs/>
        </w:rPr>
        <w:t>Quantity of interruption and remaining load per settlement interval, including “ramp-up” period of Air Products returning to full load.</w:t>
      </w:r>
    </w:p>
    <w:p>
      <w:pPr>
        <w:pStyle w:val="BodyText2"/>
        <w:numPr>
          <w:ilvl w:val="0"/>
          <w:numId w:val="2"/>
        </w:numPr>
        <w:jc w:val="both"/>
        <w:rPr>
          <w:rFonts w:cs="Arial"/>
          <w:b w:val="false"/>
          <w:bCs/>
        </w:rPr>
      </w:pPr>
      <w:r>
        <w:rPr>
          <w:rFonts w:cs="Arial"/>
          <w:b w:val="false"/>
          <w:bCs/>
        </w:rPr>
        <w:t>Duration of interruption (start and end times)</w:t>
      </w:r>
    </w:p>
    <w:p>
      <w:pPr>
        <w:pStyle w:val="BodyText2"/>
        <w:numPr>
          <w:ilvl w:val="0"/>
          <w:numId w:val="2"/>
        </w:numPr>
        <w:jc w:val="both"/>
        <w:rPr>
          <w:rFonts w:cs="Arial"/>
          <w:b w:val="false"/>
          <w:bCs/>
        </w:rPr>
      </w:pPr>
      <w:r>
        <w:rPr>
          <w:rFonts w:cs="Arial"/>
          <w:b w:val="false"/>
          <w:bCs/>
        </w:rPr>
        <w:t>Agreed to price in $/MWh for interruption that EPMI would pay Air Products (in addition to forgiveness of purchase obligation during period of interruption)</w:t>
      </w:r>
    </w:p>
    <w:p>
      <w:pPr>
        <w:pStyle w:val="BodyText2"/>
        <w:numPr>
          <w:ilvl w:val="0"/>
          <w:numId w:val="2"/>
        </w:numPr>
        <w:jc w:val="both"/>
        <w:rPr>
          <w:rFonts w:cs="Arial"/>
          <w:b w:val="false"/>
          <w:bCs/>
        </w:rPr>
      </w:pPr>
      <w:r>
        <w:rPr>
          <w:rFonts w:cs="Arial"/>
          <w:b w:val="false"/>
          <w:bCs/>
        </w:rPr>
        <w:t>Facility location of load to be interrupted</w:t>
      </w:r>
    </w:p>
    <w:p>
      <w:pPr>
        <w:pStyle w:val="BodyText2"/>
        <w:jc w:val="both"/>
        <w:rPr>
          <w:rFonts w:cs="Arial"/>
          <w:b w:val="false"/>
          <w:bCs/>
        </w:rPr>
      </w:pPr>
      <w:r>
        <w:rPr>
          <w:rFonts w:cs="Arial"/>
          <w:b w:val="false"/>
          <w:bCs/>
        </w:rPr>
      </w:r>
    </w:p>
    <w:p>
      <w:pPr>
        <w:pStyle w:val="BodyText2"/>
        <w:ind w:start="2160" w:end="0"/>
        <w:jc w:val="both"/>
        <w:rPr>
          <w:rFonts w:cs="Arial"/>
          <w:b w:val="false"/>
          <w:bCs/>
        </w:rPr>
      </w:pPr>
      <w:r>
        <w:rPr>
          <w:rFonts w:cs="Arial"/>
          <w:b w:val="false"/>
          <w:bCs/>
        </w:rPr>
        <w:t xml:space="preserve">Below please find EPMI’s and Air Products’ contact information for communicating such opportunities:  </w:t>
      </w:r>
    </w:p>
    <w:p>
      <w:pPr>
        <w:pStyle w:val="BodyText2"/>
        <w:ind w:start="2160" w:end="0"/>
        <w:jc w:val="both"/>
        <w:rPr>
          <w:rFonts w:cs="Arial"/>
          <w:b w:val="false"/>
          <w:bCs/>
        </w:rPr>
      </w:pPr>
      <w:r>
        <w:rPr>
          <w:rFonts w:cs="Arial"/>
          <w:b w:val="false"/>
          <w:bCs/>
        </w:rPr>
        <w:tab/>
      </w:r>
    </w:p>
    <w:p>
      <w:pPr>
        <w:pStyle w:val="BodyText2"/>
        <w:ind w:start="2160" w:end="0"/>
        <w:jc w:val="both"/>
        <w:rPr>
          <w:rFonts w:cs="Arial"/>
          <w:b w:val="false"/>
          <w:bCs/>
          <w:u w:val="single"/>
        </w:rPr>
      </w:pPr>
      <w:r>
        <w:rPr>
          <w:rFonts w:cs="Arial"/>
          <w:b w:val="false"/>
          <w:bCs/>
          <w:u w:val="single"/>
        </w:rPr>
        <w:t>EPMI Contact Persons</w:t>
      </w:r>
    </w:p>
    <w:p>
      <w:pPr>
        <w:pStyle w:val="BodyText2"/>
        <w:ind w:start="2160" w:end="0"/>
        <w:jc w:val="both"/>
        <w:rPr>
          <w:rFonts w:cs="Arial"/>
          <w:b w:val="false"/>
          <w:bCs/>
          <w:u w:val="single"/>
        </w:rPr>
      </w:pPr>
      <w:r>
        <w:rPr>
          <w:rFonts w:cs="Arial"/>
          <w:b w:val="false"/>
          <w:bCs/>
          <w:u w:val="single"/>
        </w:rPr>
      </w:r>
    </w:p>
    <w:p>
      <w:pPr>
        <w:pStyle w:val="BodyText2"/>
        <w:ind w:start="2160" w:end="0"/>
        <w:jc w:val="both"/>
        <w:rPr>
          <w:rFonts w:cs="Arial"/>
          <w:b w:val="false"/>
          <w:bCs/>
        </w:rPr>
      </w:pPr>
      <w:r>
        <w:rPr>
          <w:rFonts w:cs="Arial"/>
          <w:b w:val="false"/>
          <w:bCs/>
        </w:rPr>
        <w:t>1.  John Forney</w:t>
        <w:tab/>
        <w:t xml:space="preserve">Telephone No: (713) 853-7160 (Relationship Manager) </w:t>
      </w:r>
    </w:p>
    <w:p>
      <w:pPr>
        <w:pStyle w:val="BodyText2"/>
        <w:ind w:start="2160" w:end="0"/>
        <w:jc w:val="both"/>
        <w:rPr>
          <w:rFonts w:eastAsia="Arial" w:cs="Arial"/>
          <w:b w:val="false"/>
          <w:bCs/>
        </w:rPr>
      </w:pPr>
      <w:r>
        <w:rPr>
          <w:rFonts w:eastAsia="Arial" w:cs="Arial"/>
          <w:b w:val="false"/>
          <w:bCs/>
        </w:rPr>
        <w:t xml:space="preserve">  </w:t>
      </w:r>
    </w:p>
    <w:p>
      <w:pPr>
        <w:pStyle w:val="BodyText2"/>
        <w:ind w:start="2160" w:end="0"/>
        <w:jc w:val="start"/>
        <w:rPr>
          <w:rFonts w:cs="Arial"/>
          <w:b w:val="false"/>
          <w:bCs/>
        </w:rPr>
      </w:pPr>
      <w:r>
        <w:rPr>
          <w:rFonts w:cs="Arial"/>
          <w:b w:val="false"/>
          <w:bCs/>
        </w:rPr>
        <w:t>2.  Jeff Miller</w:t>
        <w:tab/>
        <w:t>Telephone No: (713) 853-5642 (Operations Coordinator)</w:t>
      </w:r>
    </w:p>
    <w:p>
      <w:pPr>
        <w:pStyle w:val="BodyText2"/>
        <w:ind w:start="2160" w:end="0"/>
        <w:jc w:val="start"/>
        <w:rPr>
          <w:rFonts w:cs="Arial"/>
          <w:b w:val="false"/>
          <w:bCs/>
        </w:rPr>
      </w:pPr>
      <w:r>
        <w:rPr>
          <w:rFonts w:cs="Arial"/>
          <w:b w:val="false"/>
          <w:bCs/>
        </w:rPr>
      </w:r>
    </w:p>
    <w:p>
      <w:pPr>
        <w:pStyle w:val="BodyText2"/>
        <w:ind w:start="2160" w:end="0"/>
        <w:jc w:val="both"/>
        <w:rPr>
          <w:rFonts w:cs="Arial"/>
          <w:b w:val="false"/>
          <w:bCs/>
        </w:rPr>
      </w:pPr>
      <w:r>
        <w:rPr>
          <w:rFonts w:cs="Arial"/>
          <w:b w:val="false"/>
          <w:bCs/>
        </w:rPr>
        <w:t>Non-business hours Hotline Telephone No:  1-800-349-5527</w:t>
      </w:r>
    </w:p>
    <w:p>
      <w:pPr>
        <w:pStyle w:val="BodyText2"/>
        <w:ind w:start="2160" w:end="0"/>
        <w:jc w:val="both"/>
        <w:rPr>
          <w:rFonts w:cs="Arial"/>
          <w:b w:val="false"/>
          <w:bCs/>
          <w:u w:val="single"/>
        </w:rPr>
      </w:pPr>
      <w:r>
        <w:rPr>
          <w:rFonts w:cs="Arial"/>
          <w:b w:val="false"/>
          <w:bCs/>
          <w:u w:val="single"/>
        </w:rPr>
      </w:r>
    </w:p>
    <w:p>
      <w:pPr>
        <w:pStyle w:val="BodyText2"/>
        <w:ind w:start="2160" w:end="0"/>
        <w:jc w:val="both"/>
        <w:rPr>
          <w:rFonts w:cs="Arial"/>
          <w:b w:val="false"/>
          <w:bCs/>
        </w:rPr>
      </w:pPr>
      <w:r>
        <w:rPr>
          <w:rFonts w:cs="Arial"/>
          <w:b w:val="false"/>
          <w:bCs/>
          <w:u w:val="single"/>
        </w:rPr>
        <w:t>Air Products Contact Persons</w:t>
      </w:r>
    </w:p>
    <w:p>
      <w:pPr>
        <w:pStyle w:val="BodyText2"/>
        <w:ind w:start="2160" w:end="0"/>
        <w:jc w:val="both"/>
        <w:rPr>
          <w:rFonts w:cs="Arial"/>
          <w:b w:val="false"/>
          <w:bCs/>
        </w:rPr>
      </w:pPr>
      <w:r>
        <w:rPr>
          <w:rFonts w:cs="Arial"/>
          <w:b w:val="false"/>
          <w:bCs/>
        </w:rPr>
      </w:r>
    </w:p>
    <w:p>
      <w:pPr>
        <w:pStyle w:val="BodyText2"/>
        <w:ind w:start="2160" w:end="0"/>
        <w:jc w:val="both"/>
        <w:rPr/>
      </w:pPr>
      <w:r>
        <w:rPr>
          <w:rFonts w:cs="Arial"/>
          <w:b w:val="false"/>
          <w:bCs/>
        </w:rPr>
        <w:t xml:space="preserve">1.  </w:t>
      </w:r>
      <w:r>
        <w:rPr>
          <w:rFonts w:cs="Arial"/>
          <w:b w:val="false"/>
          <w:bCs/>
          <w:u w:val="single"/>
        </w:rPr>
        <w:t>__[TBD]_____________</w:t>
      </w:r>
      <w:r>
        <w:rPr>
          <w:rFonts w:cs="Arial"/>
          <w:b w:val="false"/>
          <w:bCs/>
        </w:rPr>
        <w:tab/>
        <w:tab/>
        <w:t xml:space="preserve">Telephone No: </w:t>
        <w:tab/>
      </w:r>
    </w:p>
    <w:p>
      <w:pPr>
        <w:pStyle w:val="BodyText2"/>
        <w:ind w:start="2160" w:end="0"/>
        <w:jc w:val="both"/>
        <w:rPr/>
      </w:pPr>
      <w:r>
        <w:rPr>
          <w:rFonts w:cs="Arial"/>
          <w:b w:val="false"/>
          <w:bCs/>
        </w:rPr>
        <w:t xml:space="preserve">2.  </w:t>
      </w:r>
      <w:r>
        <w:rPr>
          <w:rFonts w:cs="Arial"/>
          <w:b w:val="false"/>
          <w:bCs/>
          <w:u w:val="single"/>
        </w:rPr>
        <w:t>__[TBD]_____________</w:t>
      </w:r>
      <w:r>
        <w:rPr>
          <w:rFonts w:cs="Arial"/>
          <w:b w:val="false"/>
          <w:bCs/>
        </w:rPr>
        <w:tab/>
        <w:tab/>
        <w:t xml:space="preserve">Telephone No: </w:t>
        <w:tab/>
      </w:r>
    </w:p>
    <w:p>
      <w:pPr>
        <w:pStyle w:val="BodyText2"/>
        <w:ind w:start="2160" w:end="0"/>
        <w:jc w:val="both"/>
        <w:rPr>
          <w:rFonts w:cs="Arial"/>
          <w:b w:val="false"/>
          <w:bCs/>
        </w:rPr>
      </w:pPr>
      <w:r>
        <w:rPr>
          <w:rFonts w:cs="Arial"/>
          <w:b w:val="false"/>
          <w:bCs/>
        </w:rPr>
        <w:tab/>
        <w:t xml:space="preserve"> </w:t>
      </w:r>
    </w:p>
    <w:p>
      <w:pPr>
        <w:pStyle w:val="BodyText2"/>
        <w:ind w:start="2160" w:end="0"/>
        <w:jc w:val="both"/>
        <w:rPr>
          <w:rFonts w:cs="Arial"/>
          <w:b w:val="false"/>
          <w:bCs/>
        </w:rPr>
      </w:pPr>
      <w:r>
        <w:rPr>
          <w:rFonts w:cs="Arial"/>
          <w:b w:val="false"/>
          <w:bCs/>
        </w:rPr>
        <w:t>Non-business hours</w:t>
        <w:tab/>
        <w:t xml:space="preserve"> </w:t>
        <w:tab/>
        <w:t xml:space="preserve">Telephone No: </w:t>
        <w:tab/>
        <w:t>[TBD]</w:t>
      </w:r>
    </w:p>
    <w:p>
      <w:pPr>
        <w:pStyle w:val="BodyText2"/>
        <w:ind w:hanging="2160" w:start="2160" w:end="0"/>
        <w:jc w:val="both"/>
        <w:rPr>
          <w:rFonts w:cs="Arial"/>
          <w:b w:val="false"/>
          <w:bCs/>
        </w:rPr>
      </w:pPr>
      <w:r>
        <w:rPr>
          <w:rFonts w:cs="Arial"/>
        </w:rPr>
        <w:tab/>
      </w:r>
    </w:p>
    <w:p>
      <w:pPr>
        <w:pStyle w:val="BodyText2"/>
        <w:ind w:hanging="2160" w:start="2160" w:end="0"/>
        <w:jc w:val="both"/>
        <w:rPr>
          <w:rFonts w:cs="Arial"/>
          <w:b w:val="false"/>
          <w:bCs/>
        </w:rPr>
      </w:pPr>
      <w:r>
        <w:rPr>
          <w:rFonts w:cs="Arial"/>
          <w:b w:val="false"/>
          <w:bCs/>
        </w:rPr>
      </w:r>
    </w:p>
    <w:p>
      <w:pPr>
        <w:pStyle w:val="BodyText2"/>
        <w:ind w:hanging="2160" w:start="2160" w:end="0"/>
        <w:jc w:val="both"/>
        <w:rPr/>
      </w:pPr>
      <w:r>
        <w:rPr>
          <w:rFonts w:cs="Arial"/>
        </w:rPr>
        <w:t>Timeline:</w:t>
      </w:r>
      <w:r>
        <w:rPr>
          <w:rFonts w:cs="Arial"/>
          <w:b w:val="false"/>
          <w:bCs/>
        </w:rPr>
        <w:tab/>
        <w:t>Please see the following table below for a detailed suggested outline for communications between the parties.</w:t>
      </w:r>
    </w:p>
    <w:p>
      <w:pPr>
        <w:pStyle w:val="BodyText2"/>
        <w:ind w:hanging="2160" w:start="2160" w:end="0"/>
        <w:jc w:val="both"/>
        <w:rPr>
          <w:rFonts w:cs="Arial"/>
          <w:b w:val="false"/>
          <w:bCs/>
        </w:rPr>
      </w:pPr>
      <w:r>
        <w:rPr>
          <w:rFonts w:cs="Arial"/>
          <w:b w:val="false"/>
          <w:bCs/>
        </w:rPr>
      </w:r>
    </w:p>
    <w:p>
      <w:pPr>
        <w:pStyle w:val="BodyText2"/>
        <w:ind w:hanging="2160" w:start="2160" w:end="0"/>
        <w:rPr>
          <w:rFonts w:cs="Arial"/>
          <w:b w:val="false"/>
          <w:bCs/>
        </w:rPr>
      </w:pPr>
      <w:r>
        <w:rPr>
          <w:rFonts w:cs="Arial"/>
          <w:b w:val="false"/>
          <w:bCs/>
        </w:rPr>
      </w:r>
    </w:p>
    <w:p>
      <w:pPr>
        <w:pStyle w:val="BodyText2"/>
        <w:ind w:hanging="2160" w:start="2160" w:end="0"/>
        <w:rPr>
          <w:rFonts w:cs="Arial"/>
        </w:rPr>
      </w:pPr>
      <w:r>
        <w:rPr>
          <w:rFonts w:cs="Arial"/>
        </w:rPr>
        <w:t>TABLE A – COMMUNICATION TIMETABLE</w:t>
      </w:r>
    </w:p>
    <w:p>
      <w:pPr>
        <w:pStyle w:val="BodyText2"/>
        <w:ind w:hanging="2160" w:start="2160" w:end="0"/>
        <w:rPr>
          <w:rFonts w:cs="Arial"/>
        </w:rPr>
      </w:pPr>
      <w:r>
        <w:rPr>
          <w:rFonts w:cs="Arial"/>
        </w:rPr>
      </w:r>
    </w:p>
    <w:tbl>
      <w:tblPr>
        <w:tblW w:w="8748" w:type="dxa"/>
        <w:jc w:val="start"/>
        <w:tblInd w:w="0" w:type="dxa"/>
        <w:tblLayout w:type="fixed"/>
        <w:tblCellMar>
          <w:top w:w="0" w:type="dxa"/>
          <w:start w:w="108" w:type="dxa"/>
          <w:bottom w:w="0" w:type="dxa"/>
          <w:end w:w="108" w:type="dxa"/>
        </w:tblCellMar>
      </w:tblPr>
      <w:tblGrid>
        <w:gridCol w:w="1786"/>
        <w:gridCol w:w="1006"/>
        <w:gridCol w:w="1996"/>
        <w:gridCol w:w="3960"/>
      </w:tblGrid>
      <w:tr>
        <w:trPr/>
        <w:tc>
          <w:tcPr>
            <w:tcW w:w="1786" w:type="dxa"/>
            <w:tcBorders>
              <w:bottom w:val="single" w:sz="12" w:space="0" w:color="000000"/>
            </w:tcBorders>
            <w:shd w:fill="800000" w:val="clear"/>
          </w:tcPr>
          <w:p>
            <w:pPr>
              <w:pStyle w:val="BodyText2"/>
              <w:jc w:val="both"/>
              <w:rPr>
                <w:rFonts w:cs="Arial"/>
                <w:bCs/>
                <w:i/>
                <w:i/>
                <w:iCs/>
                <w:color w:val="FFFFFF"/>
              </w:rPr>
            </w:pPr>
            <w:r>
              <w:rPr>
                <w:rFonts w:cs="Arial"/>
                <w:bCs/>
                <w:i/>
                <w:iCs/>
                <w:color w:val="FFFFFF"/>
              </w:rPr>
              <w:t>Time</w:t>
            </w:r>
          </w:p>
        </w:tc>
        <w:tc>
          <w:tcPr>
            <w:tcW w:w="1006" w:type="dxa"/>
            <w:tcBorders>
              <w:bottom w:val="single" w:sz="12" w:space="0" w:color="000000"/>
            </w:tcBorders>
            <w:shd w:fill="800000" w:val="clear"/>
          </w:tcPr>
          <w:p>
            <w:pPr>
              <w:pStyle w:val="BodyText2"/>
              <w:jc w:val="both"/>
              <w:rPr>
                <w:rFonts w:cs="Arial"/>
                <w:bCs/>
                <w:i/>
                <w:i/>
                <w:iCs/>
                <w:color w:val="FFFFFF"/>
              </w:rPr>
            </w:pPr>
            <w:r>
              <w:rPr>
                <w:rFonts w:cs="Arial"/>
                <w:bCs/>
                <w:i/>
                <w:iCs/>
                <w:color w:val="FFFFFF"/>
              </w:rPr>
              <w:t>Party</w:t>
            </w:r>
          </w:p>
        </w:tc>
        <w:tc>
          <w:tcPr>
            <w:tcW w:w="1996" w:type="dxa"/>
            <w:tcBorders>
              <w:bottom w:val="single" w:sz="12" w:space="0" w:color="000000"/>
            </w:tcBorders>
            <w:shd w:fill="800000" w:val="clear"/>
          </w:tcPr>
          <w:p>
            <w:pPr>
              <w:pStyle w:val="BodyText2"/>
              <w:jc w:val="both"/>
              <w:rPr>
                <w:rFonts w:cs="Arial"/>
                <w:bCs/>
                <w:i/>
                <w:i/>
                <w:iCs/>
                <w:color w:val="FFFFFF"/>
              </w:rPr>
            </w:pPr>
            <w:r>
              <w:rPr>
                <w:rFonts w:cs="Arial"/>
                <w:bCs/>
                <w:i/>
                <w:iCs/>
                <w:color w:val="FFFFFF"/>
              </w:rPr>
              <w:t>Action</w:t>
            </w:r>
          </w:p>
        </w:tc>
        <w:tc>
          <w:tcPr>
            <w:tcW w:w="3960" w:type="dxa"/>
            <w:tcBorders>
              <w:bottom w:val="single" w:sz="12" w:space="0" w:color="000000"/>
            </w:tcBorders>
            <w:shd w:fill="800000" w:val="clear"/>
          </w:tcPr>
          <w:p>
            <w:pPr>
              <w:pStyle w:val="BodyText2"/>
              <w:jc w:val="both"/>
              <w:rPr>
                <w:rFonts w:cs="Arial"/>
                <w:bCs/>
                <w:i/>
                <w:i/>
                <w:iCs/>
                <w:color w:val="FFFFFF"/>
              </w:rPr>
            </w:pPr>
            <w:r>
              <w:rPr>
                <w:rFonts w:cs="Arial"/>
                <w:bCs/>
                <w:i/>
                <w:iCs/>
                <w:color w:val="FFFFFF"/>
              </w:rPr>
              <w:t>Description</w:t>
            </w:r>
          </w:p>
        </w:tc>
      </w:tr>
      <w:tr>
        <w:trPr/>
        <w:tc>
          <w:tcPr>
            <w:tcW w:w="1786" w:type="dxa"/>
            <w:tcBorders>
              <w:top w:val="single" w:sz="12" w:space="0" w:color="000000"/>
            </w:tcBorders>
            <w:shd w:fill="FFFFCC" w:val="clear"/>
          </w:tcPr>
          <w:p>
            <w:pPr>
              <w:pStyle w:val="BodyText2"/>
              <w:jc w:val="start"/>
              <w:rPr>
                <w:rFonts w:cs="Arial"/>
                <w:bCs/>
                <w:i/>
                <w:i/>
                <w:iCs/>
              </w:rPr>
            </w:pPr>
            <w:r>
              <w:rPr>
                <w:rFonts w:cs="Arial"/>
                <w:bCs/>
                <w:i/>
                <w:iCs/>
              </w:rPr>
              <w:t>T – 60 minutes</w:t>
            </w:r>
          </w:p>
        </w:tc>
        <w:tc>
          <w:tcPr>
            <w:tcW w:w="1006" w:type="dxa"/>
            <w:tcBorders>
              <w:top w:val="single" w:sz="12" w:space="0" w:color="000000"/>
            </w:tcBorders>
            <w:shd w:fill="FFFFCC" w:val="clear"/>
          </w:tcPr>
          <w:p>
            <w:pPr>
              <w:pStyle w:val="BodyText2"/>
              <w:jc w:val="start"/>
              <w:rPr>
                <w:rFonts w:cs="Arial"/>
                <w:b w:val="false"/>
              </w:rPr>
            </w:pPr>
            <w:r>
              <w:rPr>
                <w:rFonts w:cs="Arial"/>
                <w:b w:val="false"/>
              </w:rPr>
              <w:t>EPMI</w:t>
            </w:r>
          </w:p>
        </w:tc>
        <w:tc>
          <w:tcPr>
            <w:tcW w:w="1996" w:type="dxa"/>
            <w:tcBorders>
              <w:top w:val="single" w:sz="12" w:space="0" w:color="000000"/>
            </w:tcBorders>
            <w:shd w:fill="FFFFCC" w:val="clear"/>
          </w:tcPr>
          <w:p>
            <w:pPr>
              <w:pStyle w:val="BodyText2"/>
              <w:jc w:val="start"/>
              <w:rPr>
                <w:rFonts w:cs="Arial"/>
                <w:b w:val="false"/>
              </w:rPr>
            </w:pPr>
            <w:r>
              <w:rPr>
                <w:rFonts w:cs="Arial"/>
                <w:b w:val="false"/>
              </w:rPr>
              <w:t>Presentation of opportunity</w:t>
            </w:r>
          </w:p>
        </w:tc>
        <w:tc>
          <w:tcPr>
            <w:tcW w:w="3960" w:type="dxa"/>
            <w:tcBorders>
              <w:top w:val="single" w:sz="12" w:space="0" w:color="000000"/>
            </w:tcBorders>
            <w:shd w:fill="FFFFCC" w:val="clear"/>
          </w:tcPr>
          <w:p>
            <w:pPr>
              <w:pStyle w:val="BodyText2"/>
              <w:jc w:val="start"/>
              <w:rPr>
                <w:rFonts w:cs="Arial"/>
                <w:b w:val="false"/>
              </w:rPr>
            </w:pPr>
            <w:r>
              <w:rPr>
                <w:rFonts w:cs="Arial"/>
                <w:b w:val="false"/>
              </w:rPr>
              <w:t>EPMI recognizes opportunity in market and presents opportunity for Air Products approval.</w:t>
            </w:r>
          </w:p>
        </w:tc>
      </w:tr>
      <w:tr>
        <w:trPr/>
        <w:tc>
          <w:tcPr>
            <w:tcW w:w="1786" w:type="dxa"/>
            <w:tcBorders/>
            <w:shd w:fill="FFFFCC" w:val="clear"/>
          </w:tcPr>
          <w:p>
            <w:pPr>
              <w:pStyle w:val="BodyText2"/>
              <w:jc w:val="start"/>
              <w:rPr>
                <w:rFonts w:cs="Arial"/>
                <w:bCs/>
                <w:i/>
                <w:i/>
                <w:iCs/>
              </w:rPr>
            </w:pPr>
            <w:r>
              <w:rPr>
                <w:rFonts w:cs="Arial"/>
                <w:bCs/>
                <w:i/>
                <w:iCs/>
              </w:rPr>
              <w:t>T – 40 minutes</w:t>
            </w:r>
          </w:p>
        </w:tc>
        <w:tc>
          <w:tcPr>
            <w:tcW w:w="1006" w:type="dxa"/>
            <w:tcBorders/>
            <w:shd w:fill="FFFFCC" w:val="clear"/>
          </w:tcPr>
          <w:p>
            <w:pPr>
              <w:pStyle w:val="BodyText2"/>
              <w:jc w:val="start"/>
              <w:rPr>
                <w:rFonts w:cs="Arial"/>
                <w:b w:val="false"/>
              </w:rPr>
            </w:pPr>
            <w:r>
              <w:rPr>
                <w:rFonts w:cs="Arial"/>
                <w:b w:val="false"/>
              </w:rPr>
              <w:t>Air Products</w:t>
            </w:r>
          </w:p>
        </w:tc>
        <w:tc>
          <w:tcPr>
            <w:tcW w:w="1996" w:type="dxa"/>
            <w:tcBorders/>
            <w:shd w:fill="FFFFCC" w:val="clear"/>
          </w:tcPr>
          <w:p>
            <w:pPr>
              <w:pStyle w:val="BodyText2"/>
              <w:jc w:val="start"/>
              <w:rPr>
                <w:rFonts w:cs="Arial"/>
                <w:b w:val="false"/>
              </w:rPr>
            </w:pPr>
            <w:r>
              <w:rPr>
                <w:rFonts w:cs="Arial"/>
                <w:b w:val="false"/>
              </w:rPr>
              <w:t>Opportunity approved/declined</w:t>
            </w:r>
          </w:p>
        </w:tc>
        <w:tc>
          <w:tcPr>
            <w:tcW w:w="3960" w:type="dxa"/>
            <w:tcBorders/>
            <w:shd w:fill="FFFFCC" w:val="clear"/>
          </w:tcPr>
          <w:p>
            <w:pPr>
              <w:pStyle w:val="BodyText2"/>
              <w:jc w:val="start"/>
              <w:rPr>
                <w:rFonts w:cs="Arial"/>
                <w:b w:val="false"/>
              </w:rPr>
            </w:pPr>
            <w:r>
              <w:rPr>
                <w:rFonts w:cs="Arial"/>
                <w:b w:val="false"/>
              </w:rPr>
              <w:t xml:space="preserve">Air Products confirms availability and acceptability of </w:t>
            </w:r>
          </w:p>
        </w:tc>
      </w:tr>
      <w:tr>
        <w:trPr/>
        <w:tc>
          <w:tcPr>
            <w:tcW w:w="1786" w:type="dxa"/>
            <w:tcBorders/>
            <w:shd w:fill="FFFFCC" w:val="clear"/>
          </w:tcPr>
          <w:p>
            <w:pPr>
              <w:pStyle w:val="BodyText2"/>
              <w:jc w:val="start"/>
              <w:rPr>
                <w:rFonts w:cs="Arial"/>
                <w:bCs/>
                <w:i/>
                <w:i/>
                <w:iCs/>
              </w:rPr>
            </w:pPr>
            <w:r>
              <w:rPr>
                <w:rFonts w:cs="Arial"/>
                <w:bCs/>
                <w:i/>
                <w:iCs/>
              </w:rPr>
              <w:t>T – 10 minutes</w:t>
            </w:r>
          </w:p>
        </w:tc>
        <w:tc>
          <w:tcPr>
            <w:tcW w:w="1006" w:type="dxa"/>
            <w:tcBorders/>
            <w:shd w:fill="FFFFCC" w:val="clear"/>
          </w:tcPr>
          <w:p>
            <w:pPr>
              <w:pStyle w:val="BodyText2"/>
              <w:jc w:val="start"/>
              <w:rPr>
                <w:rFonts w:cs="Arial"/>
                <w:b w:val="false"/>
              </w:rPr>
            </w:pPr>
            <w:r>
              <w:rPr>
                <w:rFonts w:cs="Arial"/>
                <w:b w:val="false"/>
              </w:rPr>
              <w:t>EPMI</w:t>
            </w:r>
          </w:p>
        </w:tc>
        <w:tc>
          <w:tcPr>
            <w:tcW w:w="1996" w:type="dxa"/>
            <w:tcBorders/>
            <w:shd w:fill="FFFFCC" w:val="clear"/>
          </w:tcPr>
          <w:p>
            <w:pPr>
              <w:pStyle w:val="BodyText2"/>
              <w:jc w:val="start"/>
              <w:rPr>
                <w:rFonts w:cs="Arial"/>
                <w:b w:val="false"/>
              </w:rPr>
            </w:pPr>
            <w:r>
              <w:rPr>
                <w:rFonts w:cs="Arial"/>
                <w:b w:val="false"/>
              </w:rPr>
              <w:t>Notice to interrupt</w:t>
            </w:r>
          </w:p>
        </w:tc>
        <w:tc>
          <w:tcPr>
            <w:tcW w:w="3960" w:type="dxa"/>
            <w:tcBorders/>
            <w:shd w:fill="FFFFCC" w:val="clear"/>
          </w:tcPr>
          <w:p>
            <w:pPr>
              <w:pStyle w:val="BodyText2"/>
              <w:jc w:val="start"/>
              <w:rPr>
                <w:rFonts w:cs="Arial"/>
                <w:b w:val="false"/>
              </w:rPr>
            </w:pPr>
            <w:r>
              <w:rPr>
                <w:rFonts w:cs="Arial"/>
                <w:b w:val="false"/>
              </w:rPr>
              <w:t>EPMI notifies Air Products to curtail load to agreed to quantity for a specific duration.</w:t>
            </w:r>
          </w:p>
        </w:tc>
      </w:tr>
      <w:tr>
        <w:trPr/>
        <w:tc>
          <w:tcPr>
            <w:tcW w:w="1786" w:type="dxa"/>
            <w:tcBorders>
              <w:bottom w:val="single" w:sz="12" w:space="0" w:color="000000"/>
            </w:tcBorders>
            <w:shd w:fill="FFFFCC" w:val="clear"/>
          </w:tcPr>
          <w:p>
            <w:pPr>
              <w:pStyle w:val="BodyText2"/>
              <w:jc w:val="start"/>
              <w:rPr>
                <w:rFonts w:cs="Arial"/>
                <w:bCs/>
                <w:i/>
                <w:i/>
                <w:iCs/>
              </w:rPr>
            </w:pPr>
            <w:r>
              <w:rPr>
                <w:rFonts w:cs="Arial"/>
                <w:bCs/>
                <w:i/>
                <w:iCs/>
              </w:rPr>
              <w:t>T = actual time of interruption of load</w:t>
            </w:r>
          </w:p>
        </w:tc>
        <w:tc>
          <w:tcPr>
            <w:tcW w:w="1006" w:type="dxa"/>
            <w:tcBorders>
              <w:bottom w:val="single" w:sz="12" w:space="0" w:color="000000"/>
            </w:tcBorders>
            <w:shd w:fill="FFFFCC" w:val="clear"/>
          </w:tcPr>
          <w:p>
            <w:pPr>
              <w:pStyle w:val="BodyText2"/>
              <w:jc w:val="start"/>
              <w:rPr>
                <w:rFonts w:cs="Arial"/>
                <w:b w:val="false"/>
              </w:rPr>
            </w:pPr>
            <w:r>
              <w:rPr>
                <w:rFonts w:cs="Arial"/>
                <w:b w:val="false"/>
              </w:rPr>
              <w:t>Air Products</w:t>
            </w:r>
          </w:p>
        </w:tc>
        <w:tc>
          <w:tcPr>
            <w:tcW w:w="1996" w:type="dxa"/>
            <w:tcBorders>
              <w:bottom w:val="single" w:sz="12" w:space="0" w:color="000000"/>
            </w:tcBorders>
            <w:shd w:fill="FFFFCC" w:val="clear"/>
          </w:tcPr>
          <w:p>
            <w:pPr>
              <w:pStyle w:val="BodyText2"/>
              <w:jc w:val="start"/>
              <w:rPr>
                <w:rFonts w:cs="Arial"/>
                <w:b w:val="false"/>
              </w:rPr>
            </w:pPr>
            <w:r>
              <w:rPr>
                <w:rFonts w:cs="Arial"/>
                <w:b w:val="false"/>
              </w:rPr>
              <w:t>Load interruption</w:t>
            </w:r>
          </w:p>
        </w:tc>
        <w:tc>
          <w:tcPr>
            <w:tcW w:w="3960" w:type="dxa"/>
            <w:tcBorders>
              <w:bottom w:val="single" w:sz="12" w:space="0" w:color="000000"/>
            </w:tcBorders>
            <w:shd w:fill="FFFFCC" w:val="clear"/>
          </w:tcPr>
          <w:p>
            <w:pPr>
              <w:pStyle w:val="BodyText2"/>
              <w:jc w:val="start"/>
              <w:rPr>
                <w:rFonts w:cs="Arial"/>
                <w:b w:val="false"/>
              </w:rPr>
            </w:pPr>
            <w:r>
              <w:rPr>
                <w:rFonts w:cs="Arial"/>
                <w:b w:val="false"/>
              </w:rPr>
              <w:t>Air Products interrupts load.</w:t>
            </w:r>
          </w:p>
        </w:tc>
      </w:tr>
    </w:tbl>
    <w:p>
      <w:pPr>
        <w:pStyle w:val="BodyText2"/>
        <w:ind w:hanging="2160" w:start="2160" w:end="0"/>
        <w:jc w:val="both"/>
        <w:rPr>
          <w:rFonts w:cs="Arial"/>
          <w:b w:val="false"/>
          <w:bCs/>
        </w:rPr>
      </w:pPr>
      <w:r>
        <w:rPr>
          <w:rFonts w:cs="Arial"/>
          <w:b w:val="false"/>
          <w:bCs/>
        </w:rPr>
      </w:r>
    </w:p>
    <w:p>
      <w:pPr>
        <w:pStyle w:val="BodyText2"/>
        <w:ind w:hanging="2160" w:start="2160" w:end="0"/>
        <w:jc w:val="both"/>
        <w:rPr>
          <w:rFonts w:cs="Arial"/>
          <w:b w:val="false"/>
          <w:bCs/>
        </w:rPr>
      </w:pPr>
      <w:r>
        <w:rPr>
          <w:rFonts w:cs="Arial"/>
          <w:b w:val="false"/>
          <w:bCs/>
        </w:rPr>
      </w:r>
    </w:p>
    <w:p>
      <w:pPr>
        <w:pStyle w:val="BodyTextIndent"/>
        <w:tabs>
          <w:tab w:val="clear" w:pos="720"/>
          <w:tab w:val="left" w:pos="3870" w:leader="none"/>
        </w:tabs>
        <w:jc w:val="both"/>
        <w:rPr>
          <w:rFonts w:cs="Arial"/>
          <w:b/>
          <w:bCs/>
        </w:rPr>
      </w:pPr>
      <w:r>
        <w:rPr>
          <w:rFonts w:cs="Arial"/>
          <w:b/>
          <w:bCs/>
        </w:rPr>
      </w:r>
    </w:p>
    <w:p>
      <w:pPr>
        <w:pStyle w:val="BodyTextIndent"/>
        <w:tabs>
          <w:tab w:val="clear" w:pos="720"/>
          <w:tab w:val="left" w:pos="3870" w:leader="none"/>
        </w:tabs>
        <w:jc w:val="both"/>
        <w:rPr>
          <w:rFonts w:cs="Arial"/>
          <w:b/>
          <w:bCs/>
        </w:rPr>
      </w:pPr>
      <w:r>
        <w:rPr>
          <w:rFonts w:cs="Arial"/>
          <w:b/>
          <w:bCs/>
        </w:rPr>
      </w:r>
    </w:p>
    <w:p>
      <w:pPr>
        <w:pStyle w:val="BodyTextIndent"/>
        <w:tabs>
          <w:tab w:val="clear" w:pos="720"/>
          <w:tab w:val="left" w:pos="3870" w:leader="none"/>
        </w:tabs>
        <w:jc w:val="both"/>
        <w:rPr>
          <w:rFonts w:cs="Arial"/>
          <w:b/>
          <w:bCs/>
        </w:rPr>
      </w:pPr>
      <w:r>
        <w:rPr>
          <w:rFonts w:cs="Arial"/>
          <w:b/>
          <w:bCs/>
        </w:rPr>
        <w:t>Performance</w:t>
      </w:r>
    </w:p>
    <w:p>
      <w:pPr>
        <w:pStyle w:val="BodyText2"/>
        <w:tabs>
          <w:tab w:val="clear" w:pos="720"/>
          <w:tab w:val="left" w:pos="3870" w:leader="none"/>
        </w:tabs>
        <w:ind w:hanging="2160" w:start="2160" w:end="0"/>
        <w:jc w:val="both"/>
        <w:rPr/>
      </w:pPr>
      <w:r>
        <w:rPr>
          <w:rFonts w:cs="Arial"/>
        </w:rPr>
        <w:t>Measurement:</w:t>
      </w:r>
      <w:r>
        <w:rPr>
          <w:rFonts w:cs="Arial"/>
          <w:b w:val="false"/>
          <w:bCs/>
        </w:rPr>
        <w:tab/>
        <w:t>Air Products performance would be measured in 15-minute settlement intervals.  All notice instructions shall have a quantity level specified for each settlement interval during the event. The amount of deviation in MWh per interval would be settled at the ERCOT Balancing Energy 15-minute Market Clearing Price for Energy (“MCPE”) with payment either to or from Air Products depending on whether the deviation was over or under the instructed curtailment.</w:t>
      </w:r>
    </w:p>
    <w:p>
      <w:pPr>
        <w:pStyle w:val="BodyText2"/>
        <w:ind w:hanging="2160" w:start="2160" w:end="0"/>
        <w:jc w:val="both"/>
        <w:rPr>
          <w:rFonts w:cs="Arial"/>
          <w:b w:val="false"/>
          <w:bCs/>
        </w:rPr>
      </w:pPr>
      <w:r>
        <w:rPr>
          <w:rFonts w:cs="Arial"/>
          <w:b w:val="false"/>
          <w:bCs/>
        </w:rPr>
      </w:r>
    </w:p>
    <w:p>
      <w:pPr>
        <w:pStyle w:val="BodyText2"/>
        <w:ind w:hanging="2160" w:start="2160" w:end="0"/>
        <w:jc w:val="both"/>
        <w:rPr/>
      </w:pPr>
      <w:r>
        <w:rPr>
          <w:rFonts w:cs="Arial"/>
        </w:rPr>
        <w:t>Certifications:</w:t>
        <w:tab/>
      </w:r>
      <w:r>
        <w:rPr>
          <w:rFonts w:cs="Arial"/>
          <w:b w:val="false"/>
          <w:bCs/>
        </w:rPr>
        <w:t>No certifications would be necessary.  For the long-term strategy if participation in LAR and BUL was warranted, EPMI and Air Products would work together to obtain and complete the appropriate applications, certifications, and testing requirements with ERCOT.</w:t>
      </w:r>
    </w:p>
    <w:p>
      <w:pPr>
        <w:pStyle w:val="BodyText2"/>
        <w:ind w:hanging="2160" w:start="2160" w:end="0"/>
        <w:jc w:val="both"/>
        <w:rPr>
          <w:rFonts w:cs="Arial"/>
          <w:b w:val="false"/>
          <w:bCs/>
        </w:rPr>
      </w:pPr>
      <w:r>
        <w:rPr>
          <w:rFonts w:cs="Arial"/>
          <w:b w:val="false"/>
          <w:bCs/>
        </w:rPr>
      </w:r>
    </w:p>
    <w:p>
      <w:pPr>
        <w:pStyle w:val="BodyText2"/>
        <w:ind w:hanging="2160" w:start="2160" w:end="0"/>
        <w:jc w:val="both"/>
        <w:rPr/>
      </w:pPr>
      <w:r>
        <w:rPr>
          <w:rFonts w:cs="Arial"/>
        </w:rPr>
        <w:t>Equipment:</w:t>
      </w:r>
      <w:r>
        <w:rPr>
          <w:rFonts w:cs="Arial"/>
          <w:b w:val="false"/>
          <w:bCs/>
        </w:rPr>
        <w:tab/>
        <w:t>EPMI would install, at EPMI’s expense, real-time data feeds at Air Products’ facilities’ meters to display Air Products’ load data and the associated load interruptions.  Air Products would provide EPMI access to such facilities and use commercially reasonable efforts to assist EPMI in such installations.   If Air Products can provide such real-time feeds though the B2Bi solution to EPMI at little or no cost, Air Products would use commercially reasonable efforts to provide such feeds to EPMI.</w:t>
      </w:r>
    </w:p>
    <w:p>
      <w:pPr>
        <w:pStyle w:val="BodyText2"/>
        <w:ind w:hanging="2160" w:start="2160" w:end="0"/>
        <w:jc w:val="both"/>
        <w:rPr>
          <w:rFonts w:cs="Arial"/>
          <w:b w:val="false"/>
          <w:bCs/>
          <w:iCs/>
        </w:rPr>
      </w:pPr>
      <w:r>
        <w:rPr>
          <w:rFonts w:cs="Arial"/>
          <w:b w:val="false"/>
          <w:bCs/>
          <w:iCs/>
        </w:rPr>
      </w:r>
    </w:p>
    <w:p>
      <w:pPr>
        <w:pStyle w:val="BodyText2"/>
        <w:ind w:hanging="2160" w:start="2160" w:end="0"/>
        <w:jc w:val="both"/>
        <w:rPr>
          <w:rFonts w:cs="Arial"/>
        </w:rPr>
      </w:pPr>
      <w:r>
        <w:rPr>
          <w:rFonts w:cs="Arial"/>
        </w:rPr>
        <w:t xml:space="preserve">Excused From </w:t>
      </w:r>
    </w:p>
    <w:p>
      <w:pPr>
        <w:pStyle w:val="BodyText2"/>
        <w:ind w:hanging="2160" w:start="2160" w:end="0"/>
        <w:jc w:val="both"/>
        <w:rPr>
          <w:rFonts w:cs="Arial"/>
        </w:rPr>
      </w:pPr>
      <w:r>
        <w:rPr>
          <w:rFonts w:cs="Arial"/>
        </w:rPr>
        <w:t xml:space="preserve">Minimum Take </w:t>
      </w:r>
    </w:p>
    <w:p>
      <w:pPr>
        <w:pStyle w:val="BodyText2"/>
        <w:ind w:hanging="2160" w:start="2160" w:end="0"/>
        <w:jc w:val="both"/>
        <w:rPr/>
      </w:pPr>
      <w:r>
        <w:rPr>
          <w:rFonts w:cs="Arial"/>
        </w:rPr>
        <w:t>Obligation:</w:t>
        <w:tab/>
      </w:r>
      <w:r>
        <w:rPr>
          <w:rFonts w:cs="Arial"/>
          <w:b w:val="false"/>
          <w:bCs/>
        </w:rPr>
        <w:t>Air Products would be excused from any minimum take obligations as if they did not interrupt load by crediting such energy interrupted to the Minimum Monthly Load Factor.</w:t>
      </w:r>
    </w:p>
    <w:p>
      <w:pPr>
        <w:pStyle w:val="BodyText2"/>
        <w:ind w:hanging="2160" w:start="2160" w:end="0"/>
        <w:jc w:val="both"/>
        <w:rPr>
          <w:rFonts w:cs="Arial"/>
          <w:b w:val="false"/>
          <w:bCs/>
        </w:rPr>
      </w:pPr>
      <w:r>
        <w:rPr>
          <w:rFonts w:cs="Arial"/>
          <w:b w:val="false"/>
          <w:bCs/>
        </w:rPr>
      </w:r>
    </w:p>
    <w:p>
      <w:pPr>
        <w:pStyle w:val="BodyText2"/>
        <w:ind w:hanging="2160" w:start="2160" w:end="0"/>
        <w:jc w:val="both"/>
        <w:rPr>
          <w:rFonts w:cs="Arial"/>
        </w:rPr>
      </w:pPr>
      <w:r>
        <w:rPr>
          <w:rFonts w:cs="Arial"/>
        </w:rPr>
        <w:tab/>
      </w:r>
      <w:r>
        <w:rPr>
          <w:rFonts w:cs="Arial"/>
          <w:b w:val="false"/>
          <w:bCs/>
        </w:rPr>
        <w:t>All energy interrupted below the Minimum Quantity shall be deducted from the settlement calculations such that Air Products Minimum Quantity is temporarily set at such agreed to quantity level of interruption and Air Products only obligation is the agreed to lower quantity.</w:t>
      </w:r>
    </w:p>
    <w:p>
      <w:pPr>
        <w:pStyle w:val="BodyText2"/>
        <w:ind w:hanging="2160" w:start="2160" w:end="0"/>
        <w:jc w:val="both"/>
        <w:rPr>
          <w:rFonts w:cs="Arial"/>
        </w:rPr>
      </w:pPr>
      <w:r>
        <w:rPr>
          <w:rFonts w:cs="Arial"/>
        </w:rPr>
      </w:r>
    </w:p>
    <w:p>
      <w:pPr>
        <w:pStyle w:val="BodyText2"/>
        <w:ind w:hanging="2160" w:start="2160" w:end="0"/>
        <w:jc w:val="both"/>
        <w:rPr/>
      </w:pPr>
      <w:r>
        <w:rPr>
          <w:rFonts w:cs="Arial"/>
        </w:rPr>
        <w:t>Sharing Mechanism:</w:t>
        <w:tab/>
      </w:r>
      <w:r>
        <w:rPr>
          <w:rFonts w:cs="Arial"/>
          <w:color w:val="000000"/>
        </w:rPr>
        <w:t xml:space="preserve"> </w:t>
      </w:r>
      <w:r>
        <w:rPr>
          <w:rFonts w:cs="Arial"/>
          <w:b w:val="false"/>
          <w:bCs/>
          <w:color w:val="000000"/>
          <w:u w:val="single"/>
        </w:rPr>
        <w:t>Alternative 1 - Opportunistic</w:t>
      </w:r>
      <w:r>
        <w:rPr>
          <w:rFonts w:cs="Arial"/>
          <w:b w:val="false"/>
          <w:bCs/>
          <w:color w:val="000000"/>
        </w:rPr>
        <w:t>.  EPMI and Air Products would work together to determine the circumstances that warrant an interruption of Air Products load.  EPMI as market-maker in ERCOT would analyze and track the market real-time for opportunities that fit Air Products capabilities and economics.  When such an opportunity exists, EPMI would contact Air Products and provide the Opportunity Information (including price, duration, and quantity of interruption --- see above).  Air Products would then decide and communicate to EPMI whether it would participate.</w:t>
      </w:r>
    </w:p>
    <w:p>
      <w:pPr>
        <w:pStyle w:val="BodyText2"/>
        <w:ind w:hanging="2160" w:start="2160" w:end="0"/>
        <w:jc w:val="both"/>
        <w:rPr>
          <w:rFonts w:cs="Arial"/>
          <w:b w:val="false"/>
          <w:bCs/>
          <w:color w:val="000000"/>
        </w:rPr>
      </w:pPr>
      <w:r>
        <w:rPr>
          <w:rFonts w:cs="Arial"/>
          <w:b w:val="false"/>
          <w:bCs/>
          <w:color w:val="000000"/>
        </w:rPr>
      </w:r>
    </w:p>
    <w:p>
      <w:pPr>
        <w:pStyle w:val="BodyText2"/>
        <w:ind w:hanging="2160" w:start="2160" w:end="0"/>
        <w:jc w:val="both"/>
        <w:rPr>
          <w:rFonts w:cs="Arial"/>
          <w:b w:val="false"/>
          <w:bCs/>
          <w:color w:val="000000"/>
        </w:rPr>
      </w:pPr>
      <w:r>
        <w:rPr>
          <w:rFonts w:cs="Arial"/>
          <w:b w:val="false"/>
          <w:bCs/>
          <w:color w:val="000000"/>
        </w:rPr>
        <w:tab/>
        <w:t>Air Products would be paid a known fixed return ($/MWh) by EPMI for each interruption and EPMI would take all market risk.  Air Products would have operational risk of performing the interruption per the agreed to schedule.  Any deviation would be settled at MCPE.</w:t>
      </w:r>
    </w:p>
    <w:p>
      <w:pPr>
        <w:pStyle w:val="BodyText2"/>
        <w:ind w:hanging="2160" w:start="2160" w:end="0"/>
        <w:jc w:val="both"/>
        <w:rPr>
          <w:rFonts w:cs="Arial"/>
          <w:b w:val="false"/>
          <w:bCs/>
          <w:color w:val="000000"/>
        </w:rPr>
      </w:pPr>
      <w:r>
        <w:rPr>
          <w:rFonts w:cs="Arial"/>
          <w:b w:val="false"/>
          <w:bCs/>
          <w:color w:val="000000"/>
        </w:rPr>
      </w:r>
    </w:p>
    <w:p>
      <w:pPr>
        <w:pStyle w:val="BodyText2"/>
        <w:ind w:hanging="2160" w:start="2160" w:end="0"/>
        <w:jc w:val="both"/>
        <w:rPr>
          <w:rFonts w:cs="Arial"/>
          <w:b w:val="false"/>
          <w:bCs/>
          <w:color w:val="000000"/>
        </w:rPr>
      </w:pPr>
      <w:r>
        <w:rPr>
          <w:rFonts w:cs="Arial"/>
          <w:b w:val="false"/>
          <w:bCs/>
          <w:color w:val="000000"/>
        </w:rPr>
        <w:tab/>
        <w:t>To be sure Air Products receives aggressive pricing for their interruptible capabilities from EPMI, Air Products would be free to market their interruptible capabilities to other market participants for quotes to compete with EPMI’s.</w:t>
      </w:r>
    </w:p>
    <w:p>
      <w:pPr>
        <w:pStyle w:val="BodyText2"/>
        <w:ind w:hanging="2160" w:start="2160" w:end="0"/>
        <w:jc w:val="both"/>
        <w:rPr>
          <w:rFonts w:cs="Arial"/>
          <w:b w:val="false"/>
          <w:bCs/>
          <w:color w:val="000000"/>
        </w:rPr>
      </w:pPr>
      <w:r>
        <w:rPr>
          <w:rFonts w:cs="Arial"/>
          <w:b w:val="false"/>
          <w:bCs/>
          <w:color w:val="000000"/>
        </w:rPr>
      </w:r>
    </w:p>
    <w:p>
      <w:pPr>
        <w:pStyle w:val="BodyText2"/>
        <w:ind w:hanging="2160" w:start="2160" w:end="0"/>
        <w:jc w:val="both"/>
        <w:rPr/>
      </w:pPr>
      <w:r>
        <w:rPr>
          <w:rFonts w:cs="Arial"/>
          <w:b w:val="false"/>
          <w:bCs/>
          <w:color w:val="000000"/>
        </w:rPr>
        <w:tab/>
      </w:r>
      <w:r>
        <w:rPr>
          <w:rFonts w:cs="Arial"/>
          <w:b w:val="false"/>
          <w:bCs/>
          <w:color w:val="000000"/>
          <w:u w:val="single"/>
        </w:rPr>
        <w:t>Alternative 2 – Guaranty with Sharing</w:t>
      </w:r>
      <w:r>
        <w:rPr>
          <w:rFonts w:cs="Arial"/>
          <w:b w:val="false"/>
          <w:bCs/>
          <w:color w:val="000000"/>
        </w:rPr>
        <w:t xml:space="preserve">.  EPMI would have the right to interrupt Air Products’ load at a minimum per the duration and occurrence specifications listed in Air Products’ RFP on a 10-minute notification basis at the Contract Price.  EPMI would share in any profits attained above the Contract Price on a 20% basis.  In return for this right and sharing, EPMI would guaranty Air Products $500,000 of profits for their interruptible capability for the calendar year of 2002.  If such a guaranty level was not attained, EPMI would pay Air Products the deficient profits.  </w:t>
      </w:r>
    </w:p>
    <w:p>
      <w:pPr>
        <w:pStyle w:val="BodyText2"/>
        <w:ind w:hanging="2160" w:start="2160" w:end="0"/>
        <w:jc w:val="both"/>
        <w:rPr>
          <w:rFonts w:cs="Arial"/>
          <w:b w:val="false"/>
          <w:bCs/>
          <w:color w:val="000000"/>
        </w:rPr>
      </w:pPr>
      <w:r>
        <w:rPr>
          <w:rFonts w:cs="Arial"/>
          <w:b w:val="false"/>
          <w:bCs/>
          <w:color w:val="000000"/>
        </w:rPr>
      </w:r>
    </w:p>
    <w:p>
      <w:pPr>
        <w:pStyle w:val="BodyText2"/>
        <w:ind w:hanging="2160" w:start="2160" w:end="0"/>
        <w:jc w:val="both"/>
        <w:rPr>
          <w:rFonts w:cs="Arial"/>
          <w:b w:val="false"/>
          <w:bCs/>
          <w:color w:val="000000"/>
        </w:rPr>
      </w:pPr>
      <w:r>
        <w:rPr>
          <w:rFonts w:cs="Arial"/>
          <w:b w:val="false"/>
          <w:bCs/>
          <w:color w:val="000000"/>
        </w:rPr>
        <w:tab/>
        <w:t>Air Products would be paid a known fixed return ($/year) by EPMI for its interruption capability and EPMI would take all market risk during the Term.  Air Products would have operational risk of performing the interruption per the agreed to schedule.  Any deviation would be settled at ERCOT’s MCPE.</w:t>
      </w:r>
    </w:p>
    <w:p>
      <w:pPr>
        <w:pStyle w:val="BodyText2"/>
        <w:ind w:hanging="2160" w:start="2160" w:end="0"/>
        <w:jc w:val="both"/>
        <w:rPr>
          <w:rFonts w:cs="Arial"/>
          <w:b w:val="false"/>
          <w:bCs/>
          <w:color w:val="000000"/>
        </w:rPr>
      </w:pPr>
      <w:r>
        <w:rPr>
          <w:rFonts w:cs="Arial"/>
          <w:b w:val="false"/>
          <w:bCs/>
          <w:color w:val="000000"/>
        </w:rPr>
      </w:r>
    </w:p>
    <w:p>
      <w:pPr>
        <w:pStyle w:val="BodyText2"/>
        <w:ind w:hanging="2160" w:start="2160" w:end="0"/>
        <w:jc w:val="both"/>
        <w:rPr/>
      </w:pPr>
      <w:r>
        <w:rPr>
          <w:rFonts w:cs="Arial"/>
          <w:b w:val="false"/>
          <w:bCs/>
          <w:color w:val="000000"/>
        </w:rPr>
        <w:tab/>
        <w:t xml:space="preserve">Air Products would </w:t>
      </w:r>
      <w:r>
        <w:rPr>
          <w:rFonts w:cs="Arial"/>
          <w:b w:val="false"/>
          <w:bCs/>
          <w:color w:val="000000"/>
          <w:u w:val="single"/>
        </w:rPr>
        <w:t>NOT</w:t>
      </w:r>
      <w:r>
        <w:rPr>
          <w:rFonts w:cs="Arial"/>
          <w:b w:val="false"/>
          <w:bCs/>
          <w:color w:val="000000"/>
        </w:rPr>
        <w:t xml:space="preserve"> market their interruptible capabilities to other market participants, EPMI would have the exclusive right to market Air Products interruptible capability in ERCOT.</w:t>
      </w:r>
    </w:p>
    <w:p>
      <w:pPr>
        <w:pStyle w:val="BodyText2"/>
        <w:ind w:hanging="2160" w:start="2160" w:end="0"/>
        <w:jc w:val="both"/>
        <w:rPr>
          <w:rFonts w:cs="Arial"/>
          <w:b w:val="false"/>
          <w:bCs/>
          <w:color w:val="000000"/>
        </w:rPr>
      </w:pPr>
      <w:r>
        <w:rPr>
          <w:rFonts w:cs="Arial"/>
          <w:b w:val="false"/>
          <w:bCs/>
          <w:color w:val="000000"/>
        </w:rPr>
      </w:r>
    </w:p>
    <w:p>
      <w:pPr>
        <w:pStyle w:val="BodyText"/>
        <w:jc w:val="both"/>
        <w:rPr>
          <w:rFonts w:cs="Arial"/>
          <w:b/>
          <w:i w:val="false"/>
          <w:i w:val="false"/>
        </w:rPr>
      </w:pPr>
      <w:r>
        <w:rPr>
          <w:rFonts w:eastAsia="Arial" w:cs="Arial"/>
          <w:i w:val="false"/>
        </w:rPr>
        <w:t xml:space="preserve"> </w:t>
      </w:r>
    </w:p>
    <w:p>
      <w:pPr>
        <w:pStyle w:val="Heading8"/>
        <w:spacing w:lineRule="auto" w:line="240"/>
        <w:rPr>
          <w:rFonts w:cs="Arial"/>
        </w:rPr>
      </w:pPr>
      <w:r>
        <w:rPr>
          <w:rFonts w:cs="Arial"/>
        </w:rPr>
        <w:t>Long-Term Strategy</w:t>
      </w:r>
    </w:p>
    <w:p>
      <w:pPr>
        <w:pStyle w:val="Normal"/>
        <w:ind w:hanging="2160" w:start="2160" w:end="0"/>
        <w:jc w:val="both"/>
        <w:rPr>
          <w:rFonts w:ascii="Arial" w:hAnsi="Arial" w:cs="Arial"/>
          <w:b/>
        </w:rPr>
      </w:pPr>
      <w:r>
        <w:rPr>
          <w:rFonts w:cs="Arial" w:ascii="Arial" w:hAnsi="Arial"/>
          <w:b/>
        </w:rPr>
      </w:r>
    </w:p>
    <w:p>
      <w:pPr>
        <w:pStyle w:val="Normal"/>
        <w:jc w:val="both"/>
        <w:rPr>
          <w:rFonts w:ascii="Arial" w:hAnsi="Arial" w:cs="Arial"/>
          <w:bCs/>
        </w:rPr>
      </w:pPr>
      <w:r>
        <w:rPr>
          <w:rFonts w:cs="Arial" w:ascii="Arial" w:hAnsi="Arial"/>
          <w:bCs/>
        </w:rPr>
        <w:t>As the ERCOT market and Protocols evolve, EPMI and Air Products would work together to track whether LAR, BUL, or other market opportunities are worthwhile to pursue.  EPMI would conduct a facility equipment audit to determine what metering equipment, telemetry, and ERCOT certifications/applications would be required for Air Products’ load to participate in ERCOT’s LAR and BUL markets, if any, along with its associated cost and installation timeframe.</w:t>
      </w:r>
    </w:p>
    <w:p>
      <w:pPr>
        <w:pStyle w:val="Normal"/>
        <w:jc w:val="both"/>
        <w:rPr>
          <w:rFonts w:ascii="Arial" w:hAnsi="Arial" w:cs="Arial"/>
          <w:bCs/>
        </w:rPr>
      </w:pPr>
      <w:r>
        <w:rPr>
          <w:rFonts w:cs="Arial" w:ascii="Arial" w:hAnsi="Arial"/>
          <w:bCs/>
        </w:rPr>
      </w:r>
    </w:p>
    <w:p>
      <w:pPr>
        <w:pStyle w:val="Normal"/>
        <w:ind w:hanging="2160" w:start="2160" w:end="0"/>
        <w:jc w:val="both"/>
        <w:rPr>
          <w:rFonts w:ascii="Arial" w:hAnsi="Arial" w:cs="Arial"/>
          <w:b/>
          <w:bCs/>
        </w:rPr>
      </w:pPr>
      <w:r>
        <w:rPr>
          <w:rFonts w:cs="Arial" w:ascii="Arial" w:hAnsi="Arial"/>
          <w:b/>
          <w:bCs/>
        </w:rPr>
      </w:r>
    </w:p>
    <w:p>
      <w:pPr>
        <w:pStyle w:val="Normal"/>
        <w:ind w:hanging="2160" w:start="2160" w:end="0"/>
        <w:jc w:val="both"/>
        <w:rPr>
          <w:rFonts w:ascii="Arial" w:hAnsi="Arial" w:cs="Arial"/>
        </w:rPr>
      </w:pPr>
      <w:r>
        <w:rPr>
          <w:rFonts w:cs="Arial" w:ascii="Arial" w:hAnsi="Arial"/>
          <w:b/>
        </w:rPr>
        <w:t>Confidentiality:</w:t>
      </w:r>
      <w:r>
        <w:rPr>
          <w:rFonts w:cs="Arial" w:ascii="Arial" w:hAnsi="Arial"/>
        </w:rPr>
        <w:tab/>
        <w:t>The existence of this Draft Term Sheet and all terms and conditions contained herein shall be maintained confidential between EPMI and Air Products.</w:t>
      </w:r>
    </w:p>
    <w:p>
      <w:pPr>
        <w:pStyle w:val="Normal"/>
        <w:jc w:val="both"/>
        <w:rPr>
          <w:rFonts w:ascii="Arial" w:hAnsi="Arial" w:cs="Arial"/>
        </w:rPr>
      </w:pPr>
      <w:r>
        <w:rPr>
          <w:rFonts w:cs="Arial" w:ascii="Arial" w:hAnsi="Arial"/>
        </w:rPr>
      </w:r>
    </w:p>
    <w:p>
      <w:pPr>
        <w:pStyle w:val="BodyText"/>
        <w:jc w:val="both"/>
        <w:rPr>
          <w:rFonts w:ascii="Arial" w:hAnsi="Arial" w:cs="Arial"/>
          <w:b/>
          <w:i w:val="false"/>
          <w:i w:val="false"/>
        </w:rPr>
      </w:pPr>
      <w:r>
        <w:rPr>
          <w:rFonts w:cs="Arial"/>
          <w:b/>
          <w:i w:val="false"/>
        </w:rPr>
      </w:r>
    </w:p>
    <w:p>
      <w:pPr>
        <w:pStyle w:val="BodyText"/>
        <w:jc w:val="both"/>
        <w:rPr>
          <w:rFonts w:cs="Arial"/>
          <w:b/>
          <w:i w:val="false"/>
          <w:i w:val="false"/>
        </w:rPr>
      </w:pPr>
      <w:r>
        <w:rPr>
          <w:rFonts w:cs="Arial"/>
          <w:b/>
          <w:i w:val="false"/>
        </w:rPr>
      </w:r>
    </w:p>
    <w:p>
      <w:pPr>
        <w:pStyle w:val="BodyText3"/>
        <w:rPr/>
      </w:pPr>
      <w:r>
        <w:rPr/>
        <w:t>The prices in this Draft Term Sheet are subject to change until a definitive agreement is reached, in any.  This is not an offer or commitment of EPMI, Air Products or any of their respective affiliates to enter into any transaction.  The transaction described herein is subject to further review and approval of the Board of Directors of Air Products and EPMI, if appropriate, and execution of a definitive agreement containing all appropriate provisions, including those related to events of default and remedies, dispute resolution, limitations of damages, credit, confidentiality, and governing law.</w:t>
      </w:r>
    </w:p>
    <w:sectPr>
      <w:headerReference w:type="default" r:id="rId2"/>
      <w:footerReference w:type="default" r:id="rId3"/>
      <w:type w:val="nextPage"/>
      <w:pgSz w:w="12240" w:h="15840"/>
      <w:pgMar w:left="1800" w:right="1800" w:gutter="0" w:header="720" w:top="1620" w:footer="934"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lang w:val="en-CA" w:eastAsia="en-CA"/>
      </w:rPr>
    </w:pPr>
    <w:r>
      <w:rPr>
        <w:lang w:val="en-CA" w:eastAsia="en-CA"/>
      </w:rPr>
      <w:drawing>
        <wp:anchor behindDoc="1" distT="0" distB="0" distL="114935" distR="114935" simplePos="0" locked="0" layoutInCell="1" allowOverlap="1" relativeHeight="5">
          <wp:simplePos x="0" y="0"/>
          <wp:positionH relativeFrom="column">
            <wp:posOffset>4892040</wp:posOffset>
          </wp:positionH>
          <wp:positionV relativeFrom="paragraph">
            <wp:posOffset>25400</wp:posOffset>
          </wp:positionV>
          <wp:extent cx="606425" cy="609600"/>
          <wp:effectExtent l="0" t="0" r="0" b="0"/>
          <wp:wrapNone/>
          <wp:docPr id="2"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pPr>
    <w:r>
      <w:rPr/>
    </w:r>
  </w:p>
  <w:p>
    <w:pPr>
      <w:pStyle w:val="Footer"/>
      <w:jc w:val="center"/>
      <w:rPr/>
    </w:pPr>
    <w:r>
      <w:rPr/>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r>
      <mc:AlternateContent>
        <mc:Choice Requires="wps">
          <w:drawing>
            <wp:anchor behindDoc="1" distT="0" distB="0" distL="114935" distR="114935" simplePos="0" locked="0" layoutInCell="1" allowOverlap="1" relativeHeight="9">
              <wp:simplePos x="0" y="0"/>
              <wp:positionH relativeFrom="column">
                <wp:posOffset>-50165</wp:posOffset>
              </wp:positionH>
              <wp:positionV relativeFrom="paragraph">
                <wp:posOffset>-4445</wp:posOffset>
              </wp:positionV>
              <wp:extent cx="5586730" cy="283210"/>
              <wp:effectExtent l="0" t="0" r="0" b="0"/>
              <wp:wrapNone/>
              <wp:docPr id="1" name="Frame1"/>
              <a:graphic xmlns:a="http://schemas.openxmlformats.org/drawingml/2006/main">
                <a:graphicData uri="http://schemas.microsoft.com/office/word/2010/wordprocessingShape">
                  <wps:wsp>
                    <wps:cNvSpPr txBox="1"/>
                    <wps:spPr>
                      <a:xfrm>
                        <a:off x="0" y="0"/>
                        <a:ext cx="5586730" cy="283210"/>
                      </a:xfrm>
                      <a:prstGeom prst="rect"/>
                      <a:solidFill>
                        <a:srgbClr val="0000FF"/>
                      </a:solidFill>
                      <a:ln w="9525">
                        <a:solidFill>
                          <a:srgbClr val="000000"/>
                        </a:solidFill>
                      </a:ln>
                    </wps:spPr>
                    <wps:txbx>
                      <w:txbxContent>
                        <w:p>
                          <w:pPr>
                            <w:pStyle w:val="Heading4"/>
                            <w:rPr>
                              <w:color w:val="FFFFFF"/>
                            </w:rPr>
                          </w:pPr>
                          <w:r>
                            <w:rPr>
                              <w:color w:val="FFFFFF"/>
                            </w:rPr>
                            <w:t>Proprietary &amp; Confidential Information, For Discussion Only</w:t>
                          </w:r>
                        </w:p>
                      </w:txbxContent>
                    </wps:txbx>
                    <wps:bodyPr anchor="t" lIns="91440" tIns="45720" rIns="91440" bIns="45720">
                      <a:noAutofit/>
                    </wps:bodyPr>
                  </wps:wsp>
                </a:graphicData>
              </a:graphic>
            </wp:anchor>
          </w:drawing>
        </mc:Choice>
        <mc:Fallback>
          <w:pict>
            <v:rect fillcolor="#0000FF" strokecolor="#000000" strokeweight="0pt" style="position:absolute;rotation:-0;width:439.9pt;height:22.3pt;mso-wrap-distance-left:9.05pt;mso-wrap-distance-right:9.05pt;mso-wrap-distance-top:0pt;mso-wrap-distance-bottom:0pt;margin-top:-0.35pt;mso-position-vertical-relative:text;margin-left:-3.95pt;mso-position-horizontal-relative:text">
              <v:textbox>
                <w:txbxContent>
                  <w:p>
                    <w:pPr>
                      <w:pStyle w:val="Heading4"/>
                      <w:rPr>
                        <w:color w:val="FFFFFF"/>
                      </w:rPr>
                    </w:pPr>
                    <w:r>
                      <w:rPr>
                        <w:color w:val="FFFFFF"/>
                      </w:rPr>
                      <w:t>Proprietary &amp; Confidential Information, For Discussion Only</w:t>
                    </w:r>
                  </w:p>
                </w:txbxContent>
              </v:textbox>
              <w10:wrap type="none"/>
            </v:rect>
          </w:pict>
        </mc:Fallback>
      </mc:AlternateContent>
    </w:r>
  </w:p>
  <w:p>
    <w:pPr>
      <w:pStyle w:val="Header"/>
      <w:jc w:val="end"/>
      <w:rPr>
        <w:b/>
      </w:rPr>
    </w:pPr>
    <w:r>
      <w:rPr>
        <w:b/>
      </w:rPr>
      <w:t>PROPRIETARY &amp; CONFIDENTIAL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u w:val="single"/>
    </w:rPr>
  </w:style>
  <w:style w:type="paragraph" w:styleId="Heading6">
    <w:name w:val="heading 6"/>
    <w:basedOn w:val="Normal"/>
    <w:next w:val="Normal"/>
    <w:qFormat/>
    <w:pPr>
      <w:keepNext w:val="true"/>
      <w:numPr>
        <w:ilvl w:val="5"/>
        <w:numId w:val="1"/>
      </w:numPr>
      <w:spacing w:lineRule="atLeast" w:line="240"/>
      <w:jc w:val="both"/>
      <w:outlineLvl w:val="5"/>
    </w:pPr>
    <w:rPr>
      <w:rFonts w:ascii="Arial" w:hAnsi="Arial" w:cs="Arial"/>
      <w:b/>
      <w:color w:val="000000"/>
      <w:u w:val="single"/>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u w:val="single"/>
    </w:rPr>
  </w:style>
  <w:style w:type="paragraph" w:styleId="Heading8">
    <w:name w:val="heading 8"/>
    <w:basedOn w:val="Normal"/>
    <w:next w:val="Normal"/>
    <w:qFormat/>
    <w:pPr>
      <w:keepNext w:val="true"/>
      <w:numPr>
        <w:ilvl w:val="7"/>
        <w:numId w:val="1"/>
      </w:numPr>
      <w:spacing w:lineRule="atLeast" w:line="240"/>
      <w:ind w:hanging="2160" w:start="2160" w:end="0"/>
      <w:jc w:val="both"/>
      <w:outlineLvl w:val="7"/>
    </w:pPr>
    <w:rPr>
      <w:rFonts w:ascii="Arial" w:hAnsi="Arial" w:cs="Arial"/>
      <w:b/>
      <w:u w:val="single"/>
    </w:rPr>
  </w:style>
  <w:style w:type="paragraph" w:styleId="Heading9">
    <w:name w:val="heading 9"/>
    <w:basedOn w:val="Normal"/>
    <w:next w:val="Normal"/>
    <w:qFormat/>
    <w:pPr>
      <w:keepNext w:val="true"/>
      <w:numPr>
        <w:ilvl w:val="8"/>
        <w:numId w:val="1"/>
      </w:numPr>
      <w:jc w:val="both"/>
      <w:outlineLvl w:val="8"/>
    </w:pPr>
    <w:rPr>
      <w:rFonts w:ascii="Arial" w:hAnsi="Arial" w:cs="Arial"/>
      <w:b/>
      <w:color w:val="00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rPr>
  </w:style>
  <w:style w:type="paragraph" w:styleId="BodyTextIndent2">
    <w:name w:val="Body Text Indent 2"/>
    <w:basedOn w:val="Normal"/>
    <w:qFormat/>
    <w:pPr>
      <w:spacing w:lineRule="atLeast" w:line="240"/>
      <w:ind w:hanging="2250" w:start="2250" w:end="0"/>
    </w:pPr>
    <w:rPr>
      <w:rFonts w:ascii="Arial" w:hAnsi="Arial" w:cs="Arial"/>
      <w:color w:val="000000"/>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BodyText3">
    <w:name w:val="Body Text 3"/>
    <w:basedOn w:val="Normal"/>
    <w:qFormat/>
    <w:pPr>
      <w:jc w:val="both"/>
    </w:pPr>
    <w:rPr>
      <w:rFonts w:ascii="Arial" w:hAnsi="Arial" w:cs="Arial"/>
      <w:b/>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2001-11-09T14:08:00Z</dcterms:created>
  <dc:creator>Michael J. Curry</dc:creator>
  <dc:description/>
  <dc:language>en-CA</dc:language>
  <cp:lastModifiedBy>m c</cp:lastModifiedBy>
  <cp:lastPrinted>2001-11-05T09:03:00Z</cp:lastPrinted>
  <dcterms:modified xsi:type="dcterms:W3CDTF">2001-11-09T14:20:00Z</dcterms:modified>
  <cp:revision>4</cp:revision>
  <dc:subject/>
  <dc:title>Dave,  Here is an indicative three year proposal for your consideration:</dc:title>
</cp:coreProperties>
</file>