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en-CA"/>
        </w:rPr>
      </w:pPr>
      <w:r>
        <w:rPr>
          <w:b/>
        </w:rPr>
        <mc:AlternateContent>
          <mc:Choice Requires="wps">
            <w:drawing>
              <wp:anchor behindDoc="0" distT="0" distB="0" distL="114935" distR="114935" simplePos="0" locked="0" layoutInCell="1" allowOverlap="1" relativeHeight="5">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b/>
        </w:rPr>
        <w:t>UNITED STATES OF AMERICA</w:t>
      </w:r>
    </w:p>
    <w:p>
      <w:pPr>
        <w:pStyle w:val="Center"/>
        <w:spacing w:before="0" w:after="0"/>
        <w:rPr>
          <w:b/>
        </w:rPr>
      </w:pPr>
      <w:r>
        <w:rPr>
          <w:b/>
        </w:rPr>
        <w:t>BEFORE THE</w:t>
      </w:r>
    </w:p>
    <w:p>
      <w:pPr>
        <w:pStyle w:val="Normal"/>
        <w:jc w:val="center"/>
        <w:rPr>
          <w:b/>
        </w:rPr>
      </w:pPr>
      <w:r>
        <w:rPr>
          <w:b/>
        </w:rPr>
        <w:t>FEDERAL ENERGY REGULATORY COMMISSION</w:t>
      </w:r>
    </w:p>
    <w:p>
      <w:pPr>
        <w:pStyle w:val="Normal"/>
        <w:rPr>
          <w:b/>
        </w:rPr>
      </w:pPr>
      <w:r>
        <w:rPr>
          <w:b/>
        </w:rPr>
      </w:r>
    </w:p>
    <w:p>
      <w:pPr>
        <w:pStyle w:val="Normal"/>
        <w:rPr>
          <w:b/>
        </w:rPr>
      </w:pPr>
      <w:r>
        <w:rPr>
          <w:b/>
        </w:rPr>
      </w:r>
    </w:p>
    <w:tbl>
      <w:tblPr>
        <w:tblW w:w="9576" w:type="dxa"/>
        <w:jc w:val="start"/>
        <w:tblInd w:w="0" w:type="dxa"/>
        <w:tblLayout w:type="fixed"/>
        <w:tblCellMar>
          <w:top w:w="0" w:type="dxa"/>
          <w:start w:w="108" w:type="dxa"/>
          <w:bottom w:w="0" w:type="dxa"/>
          <w:end w:w="108" w:type="dxa"/>
        </w:tblCellMar>
      </w:tblPr>
      <w:tblGrid>
        <w:gridCol w:w="5058"/>
        <w:gridCol w:w="720"/>
        <w:gridCol w:w="3798"/>
      </w:tblGrid>
      <w:tr>
        <w:trPr/>
        <w:tc>
          <w:tcPr>
            <w:tcW w:w="5058" w:type="dxa"/>
            <w:tcBorders>
              <w:top w:val="single" w:sz="4" w:space="0" w:color="000000"/>
            </w:tcBorders>
          </w:tcPr>
          <w:p>
            <w:pPr>
              <w:pStyle w:val="Normal"/>
              <w:snapToGrid w:val="false"/>
              <w:rPr>
                <w:b/>
              </w:rPr>
            </w:pPr>
            <w:r>
              <w:rPr>
                <w:b/>
              </w:rPr>
            </w:r>
          </w:p>
        </w:tc>
        <w:tc>
          <w:tcPr>
            <w:tcW w:w="720" w:type="dxa"/>
            <w:tcBorders/>
          </w:tcPr>
          <w:p>
            <w:pPr>
              <w:pStyle w:val="Normal"/>
              <w:rPr>
                <w:b/>
              </w:rPr>
            </w:pPr>
            <w:r>
              <w:rPr>
                <w:b/>
              </w:rPr>
              <w:t>)</w:t>
            </w:r>
          </w:p>
        </w:tc>
        <w:tc>
          <w:tcPr>
            <w:tcW w:w="3798" w:type="dxa"/>
            <w:tcBorders/>
          </w:tcPr>
          <w:p>
            <w:pPr>
              <w:pStyle w:val="Normal"/>
              <w:snapToGrid w:val="false"/>
              <w:rPr>
                <w:b/>
              </w:rPr>
            </w:pPr>
            <w:r>
              <w:rPr>
                <w:b/>
              </w:rPr>
            </w:r>
          </w:p>
        </w:tc>
      </w:tr>
      <w:tr>
        <w:trPr/>
        <w:tc>
          <w:tcPr>
            <w:tcW w:w="5058" w:type="dxa"/>
            <w:tcBorders/>
          </w:tcPr>
          <w:p>
            <w:pPr>
              <w:pStyle w:val="Normal"/>
              <w:rPr>
                <w:b/>
              </w:rPr>
            </w:pPr>
            <w:r>
              <w:rPr>
                <w:b/>
              </w:rPr>
              <w:t>Arizona Public Service Company</w:t>
            </w:r>
          </w:p>
        </w:tc>
        <w:tc>
          <w:tcPr>
            <w:tcW w:w="720" w:type="dxa"/>
            <w:tcBorders/>
          </w:tcPr>
          <w:p>
            <w:pPr>
              <w:pStyle w:val="Normal"/>
              <w:rPr>
                <w:b/>
              </w:rPr>
            </w:pPr>
            <w:r>
              <w:rPr>
                <w:b/>
              </w:rPr>
              <w:t>)</w:t>
            </w:r>
          </w:p>
        </w:tc>
        <w:tc>
          <w:tcPr>
            <w:tcW w:w="3798" w:type="dxa"/>
            <w:tcBorders/>
          </w:tcPr>
          <w:p>
            <w:pPr>
              <w:pStyle w:val="Normal"/>
              <w:rPr>
                <w:b/>
              </w:rPr>
            </w:pPr>
            <w:r>
              <w:rPr>
                <w:b/>
              </w:rPr>
              <w:t>Docket No. ER01-463-001</w:t>
            </w:r>
          </w:p>
        </w:tc>
      </w:tr>
      <w:tr>
        <w:trPr/>
        <w:tc>
          <w:tcPr>
            <w:tcW w:w="5058" w:type="dxa"/>
            <w:tcBorders>
              <w:bottom w:val="single" w:sz="4" w:space="0" w:color="000000"/>
            </w:tcBorders>
          </w:tcPr>
          <w:p>
            <w:pPr>
              <w:pStyle w:val="Normal"/>
              <w:snapToGrid w:val="false"/>
              <w:rPr>
                <w:b/>
              </w:rPr>
            </w:pPr>
            <w:r>
              <w:rPr>
                <w:b/>
              </w:rPr>
            </w:r>
          </w:p>
        </w:tc>
        <w:tc>
          <w:tcPr>
            <w:tcW w:w="720" w:type="dxa"/>
            <w:tcBorders/>
          </w:tcPr>
          <w:p>
            <w:pPr>
              <w:pStyle w:val="Normal"/>
              <w:rPr>
                <w:b/>
              </w:rPr>
            </w:pPr>
            <w:r>
              <w:rPr>
                <w:b/>
              </w:rPr>
              <w:t>)</w:t>
            </w:r>
          </w:p>
        </w:tc>
        <w:tc>
          <w:tcPr>
            <w:tcW w:w="3798" w:type="dxa"/>
            <w:tcBorders/>
          </w:tcPr>
          <w:p>
            <w:pPr>
              <w:pStyle w:val="Normal"/>
              <w:snapToGrid w:val="false"/>
              <w:rPr>
                <w:b/>
              </w:rPr>
            </w:pPr>
            <w:r>
              <w:rPr>
                <w:b/>
              </w:rPr>
            </w:r>
          </w:p>
        </w:tc>
      </w:tr>
    </w:tbl>
    <w:p>
      <w:pPr>
        <w:pStyle w:val="Normal"/>
        <w:rPr/>
      </w:pPr>
      <w:r>
        <w:rPr/>
      </w:r>
    </w:p>
    <w:p>
      <w:pPr>
        <w:pStyle w:val="Normal"/>
        <w:rPr/>
      </w:pPr>
      <w:r>
        <w:rPr/>
      </w:r>
    </w:p>
    <w:p>
      <w:pPr>
        <w:pStyle w:val="TitleStyle"/>
        <w:rPr/>
      </w:pPr>
      <w:r>
        <w:rPr/>
        <w:t>JOINT COMMENTS of DUKE ENERGY NORTH</w:t>
        <w:br/>
        <w:t>AMERICA, LLC and enron Power marketing, inc. ON</w:t>
      </w:r>
      <w:r>
        <w:rPr>
          <w:u w:val="single"/>
        </w:rPr>
        <w:t xml:space="preserve"> COMPLIANCE FILING of Arizona Public Service Company</w:t>
      </w:r>
    </w:p>
    <w:p>
      <w:pPr>
        <w:pStyle w:val="Normal"/>
        <w:rPr>
          <w:u w:val="single"/>
        </w:rPr>
      </w:pPr>
      <w:r>
        <w:rPr>
          <w:u w:val="single"/>
        </w:rPr>
      </w:r>
    </w:p>
    <w:p>
      <w:pPr>
        <w:pStyle w:val="BodyTextStyle"/>
        <w:rPr/>
      </w:pPr>
      <w:r>
        <w:rPr/>
        <w:t xml:space="preserve">On November 16, 2000, Arizona Public Service Company (“APS”) filed with the Federal Energy Regulatory Commission (“FERC” or “Commission”) proposed Interconnection Procedures (the “Interconnection Procedures”) and a </w:t>
      </w:r>
      <w:r>
        <w:rPr>
          <w:i/>
        </w:rPr>
        <w:t xml:space="preserve">pro forma </w:t>
      </w:r>
      <w:r>
        <w:rPr/>
        <w:t>Interconnection and Operating Agreement (the “Interconnection Agreement” or “IA”). On January 12, 2001, the Commission issued an order accepting the Interconnection Procedures and Interconnection Agreement for filing, with modification.</w:t>
      </w:r>
      <w:r>
        <w:rPr>
          <w:rStyle w:val="FootnoteCharacters"/>
          <w:rStyle w:val="FootnoteReference"/>
        </w:rPr>
        <w:footnoteReference w:id="2"/>
      </w:r>
      <w:r>
        <w:rPr/>
        <w:t xml:space="preserve">  On February 13, 2001, APS filed revised Interconnection Procedures and a revised Interconnection Agreement in compliance with the January 12 Order.  Duke Energy North America, LLC and Enron Power Marketing, Inc. (collectively, “New Generators”) respectfully submit the following comments on APS’ compliance filing.</w:t>
      </w:r>
    </w:p>
    <w:p>
      <w:pPr>
        <w:pStyle w:val="Bullet-Large"/>
        <w:numPr>
          <w:ilvl w:val="0"/>
          <w:numId w:val="2"/>
        </w:numPr>
        <w:rPr/>
      </w:pPr>
      <w:r>
        <w:rPr>
          <w:u w:val="single"/>
        </w:rPr>
        <w:t>Transmission Credits</w:t>
      </w:r>
    </w:p>
    <w:p>
      <w:pPr>
        <w:pStyle w:val="BodyTextStyle"/>
        <w:rPr/>
      </w:pPr>
      <w:r>
        <w:rPr/>
        <w:t>In the January 12, Order, the Commission directed APS to provide transmission credits for “all transmission service.”</w:t>
      </w:r>
      <w:r>
        <w:rPr>
          <w:rStyle w:val="FootnoteCharacters"/>
          <w:rStyle w:val="FootnoteReference"/>
        </w:rPr>
        <w:footnoteReference w:id="3"/>
      </w:r>
      <w:r>
        <w:rPr/>
        <w:t xml:space="preserve">  Under Section 9.4.1 of APS’ revised IA, APS will provide transmission credits for firm and non-firm transmission service against any payments made by a generator for “system upgrade facilities that provide a system benefit, other than for those facilities needed to remedy short-circuit or stability problems.”</w:t>
      </w:r>
      <w:r>
        <w:rPr>
          <w:rStyle w:val="FootnoteCharacters"/>
          <w:rStyle w:val="FootnoteReference"/>
        </w:rPr>
        <w:footnoteReference w:id="4"/>
      </w:r>
      <w:r>
        <w:rPr/>
        <w:t xml:space="preserve">  APS also proposes to automatically provide the credits to the </w:t>
      </w:r>
      <w:r>
        <w:rPr>
          <w:i/>
        </w:rPr>
        <w:t>transmission customer</w:t>
      </w:r>
      <w:r>
        <w:rPr/>
        <w:t xml:space="preserve"> who has secured the transmission service necessary to deliver the power from the generator’s generating facility.</w:t>
      </w:r>
      <w:r>
        <w:rPr>
          <w:rStyle w:val="FootnoteCharacters"/>
          <w:rStyle w:val="FootnoteReference"/>
        </w:rPr>
        <w:footnoteReference w:id="5"/>
      </w:r>
      <w:r>
        <w:rPr/>
        <w:t xml:space="preserve">  Frequently, though, the generator is not the party securing the transmission service.  Instead, the transmission customer is often the generator’s power purchaser.  By automatically providing the credits to the transmission customer, APS has, therefore, made the decision to assign the credit to the generator’s power purchaser where the purchaser, and not the generator, is the transmission customer.</w:t>
      </w:r>
    </w:p>
    <w:p>
      <w:pPr>
        <w:pStyle w:val="BodyTextStyle"/>
        <w:rPr/>
      </w:pPr>
      <w:r>
        <w:rPr/>
        <w:t>The Commission has recognized, however, that the purpose of transmission credits is to compensate the generator for the costs of network upgrades for which it has paid in order to interconnect to the transmission system and that, accordingly, it is the generator who is the party rightfully entitled to the transmission credits.</w:t>
      </w:r>
      <w:r>
        <w:rPr>
          <w:rStyle w:val="FootnoteCharacters"/>
          <w:rStyle w:val="FootnoteReference"/>
        </w:rPr>
        <w:footnoteReference w:id="6"/>
      </w:r>
      <w:r>
        <w:rPr/>
        <w:t xml:space="preserve">  Thus, it is the generator, not APS, that should have the right to determine whether to assign the credit.  Indeed, under all the crediting proposals accepted by the Commission to date, credits are transferable and the decision whether to transfer them placed solely in the hands of the generator.</w:t>
      </w:r>
      <w:r>
        <w:rPr>
          <w:rStyle w:val="FootnoteCharacters"/>
          <w:rStyle w:val="FootnoteReference"/>
        </w:rPr>
        <w:footnoteReference w:id="7"/>
      </w:r>
      <w:r>
        <w:rPr/>
        <w:t xml:space="preserve">  A generator should not be divested of its right to receive transmission credits and be prohibited from enjoying the benefits associated with such credits simply because its power purchaser ultimately is the transmission customer.</w:t>
      </w:r>
    </w:p>
    <w:p>
      <w:pPr>
        <w:pStyle w:val="BodyTextStyle"/>
        <w:rPr/>
      </w:pPr>
      <w:r>
        <w:rPr/>
        <w:t>Accordingly, APS should be directed to modify Section 9.4.1 of the IA to make clear that it is the generator who is entitled to receive transmission credits and to assign such credits if the generator so chooses.  APS should also clarify Section 9.4.1 to make clear that the credits will be applied on a dollar-for-dollar basis.</w:t>
      </w:r>
    </w:p>
    <w:p>
      <w:pPr>
        <w:pStyle w:val="Bullet-Large"/>
        <w:numPr>
          <w:ilvl w:val="0"/>
          <w:numId w:val="2"/>
        </w:numPr>
        <w:rPr>
          <w:u w:val="single"/>
        </w:rPr>
      </w:pPr>
      <w:r>
        <w:rPr>
          <w:u w:val="single"/>
        </w:rPr>
        <w:t>Milestones in Appendix A of the IA</w:t>
      </w:r>
    </w:p>
    <w:p>
      <w:pPr>
        <w:pStyle w:val="BodyTextStyle"/>
        <w:rPr/>
      </w:pPr>
      <w:r>
        <w:rPr/>
        <w:t>In the January 12 Order, the Commission also directed APS to “modify Appendix A [to the IA] to specify the general standards Arizona Public Service will use to determine whether a generator interconnection applicant retains its place in the queue,” noting that specific milestones may be negotiated by APS and the interconnecting generator on a case-by-case basis.</w:t>
      </w:r>
      <w:r>
        <w:rPr>
          <w:rStyle w:val="FootnoteCharacters"/>
          <w:rStyle w:val="FootnoteReference"/>
        </w:rPr>
        <w:footnoteReference w:id="8"/>
      </w:r>
      <w:r>
        <w:rPr/>
        <w:t xml:space="preserve">  In response, APS has included in Appendix A a number of milestones.  </w:t>
      </w:r>
    </w:p>
    <w:p>
      <w:pPr>
        <w:pStyle w:val="BodyTextStyle"/>
        <w:rPr/>
      </w:pPr>
      <w:r>
        <w:rPr/>
        <w:t>As an initial matter, New Generators question the inclusion of certain of these milestones.  In New Generator’s view, certain of the milestones identified in Appendix A appear to require a generator to provide information for which APS should have no need or which fails to demonstrate that progress is being made on the project.  For example, APS proposes to require a generator to provide documentation of the estimated cost of any interconnection facilities to be built by the generator as well as the estimated cost of the generating facility.</w:t>
      </w:r>
      <w:r>
        <w:rPr>
          <w:rStyle w:val="FootnoteCharacters"/>
          <w:rStyle w:val="FootnoteReference"/>
        </w:rPr>
        <w:footnoteReference w:id="9"/>
      </w:r>
      <w:r>
        <w:rPr/>
        <w:t xml:space="preserve">  New Generators cannot discern any reason why APS would require or should even have such information.  Such information appears to be completely unrelated to the primary goal of a milestone – </w:t>
      </w:r>
      <w:r>
        <w:rPr>
          <w:i/>
        </w:rPr>
        <w:t>i.e.</w:t>
      </w:r>
      <w:r>
        <w:rPr/>
        <w:t>, to provide an indication of the progress made to date by the generator and the likelihood that the project will be developed.  APS also proposes to require a generator to provide “appropriate proof that it has secured the necessary capital to finance construction of its proposed facility.”</w:t>
      </w:r>
      <w:r>
        <w:rPr>
          <w:rStyle w:val="FootnoteCharacters"/>
          <w:rStyle w:val="FootnoteReference"/>
        </w:rPr>
        <w:footnoteReference w:id="10"/>
      </w:r>
      <w:r>
        <w:rPr/>
        <w:t xml:space="preserve">  Again, New Generators do not see any reason why such information should be provided to APS, particularly since under the Interconnection Procedures, a generator must provide APS with a letter of credit or other reasonable form of security equal to the generator’s total estimated cost responsibility in order to protect APS against non-payment.</w:t>
      </w:r>
      <w:r>
        <w:rPr>
          <w:rStyle w:val="FootnoteCharacters"/>
          <w:rStyle w:val="FootnoteReference"/>
        </w:rPr>
        <w:footnoteReference w:id="11"/>
      </w:r>
      <w:r>
        <w:rPr/>
        <w:t xml:space="preserve">  Thus, if a generator provides APS the appropriate security, APS will be assured of full compensation by the generator for any work performed and will not be subject to any financial risk if the generator experiences any financing problems.  Accordingly, APS should have no need for proof that the generator has secured the necessary capital to finance construction of its proposed generating facility.  The Commission should direct APS to modify Appendix A to delete those milestones that require information that is not necessary for APS to obtain or that do not clearly indicate whether a project is going forward. </w:t>
      </w:r>
    </w:p>
    <w:p>
      <w:pPr>
        <w:pStyle w:val="BodyTextStyle"/>
        <w:rPr/>
      </w:pPr>
      <w:r>
        <w:rPr/>
        <w:t>In addition, as revised, APS’ milestones appear to be mandatory in nature.</w:t>
      </w:r>
      <w:r>
        <w:rPr>
          <w:rStyle w:val="FootnoteCharacters"/>
          <w:rStyle w:val="FootnoteReference"/>
        </w:rPr>
        <w:footnoteReference w:id="12"/>
      </w:r>
      <w:r>
        <w:rPr/>
        <w:t xml:space="preserve">  Consistent with the January 12 Order as well as prior Commission orders, however, the Commission should require APS to clarify that specific milestones may be negotiated between APS and a generator on a case-by-case basis.</w:t>
      </w:r>
      <w:r>
        <w:rPr>
          <w:rStyle w:val="FootnoteCharacters"/>
          <w:rStyle w:val="FootnoteReference"/>
        </w:rPr>
        <w:footnoteReference w:id="13"/>
      </w:r>
      <w:r>
        <w:rPr/>
        <w:t xml:space="preserve">  Alternatively, APS should modify the Interconnection Procedures and IA to allow for the extension of milestone deadlines in appropriate circumstances (</w:t>
      </w:r>
      <w:r>
        <w:rPr>
          <w:i/>
        </w:rPr>
        <w:t>e.g.</w:t>
      </w:r>
      <w:r>
        <w:rPr>
          <w:smallCaps/>
        </w:rPr>
        <w:t>,</w:t>
      </w:r>
      <w:r>
        <w:rPr/>
        <w:t xml:space="preserve"> where delays in meeting a particular milestone is the result of delays not caused by the generator).</w:t>
      </w:r>
      <w:r>
        <w:rPr>
          <w:rStyle w:val="FootnoteCharacters"/>
          <w:rStyle w:val="FootnoteReference"/>
        </w:rPr>
        <w:footnoteReference w:id="14"/>
      </w:r>
    </w:p>
    <w:p>
      <w:pPr>
        <w:pStyle w:val="Heading1"/>
        <w:keepNext w:val="true"/>
        <w:ind w:hanging="0" w:start="0"/>
        <w:rPr/>
      </w:pPr>
      <w:r>
        <w:rPr>
          <w:u w:val="single"/>
        </w:rPr>
        <w:t>CONCLUSION</w:t>
      </w:r>
    </w:p>
    <w:p>
      <w:pPr>
        <w:pStyle w:val="BodyTextStyle"/>
        <w:keepNext w:val="true"/>
        <w:rPr/>
      </w:pPr>
      <w:r>
        <w:rPr/>
        <w:t>WHEREFORE, New Generators respectfully request that the Commission direct APS to clarify and/or modify the Interconnection Procedures and the Interconnection Agreement consistent with New Generators’ comments.</w:t>
      </w:r>
    </w:p>
    <w:p>
      <w:pPr>
        <w:pStyle w:val="BodyTextStyle"/>
        <w:keepNext w:val="true"/>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napToGrid w:val="false"/>
              <w:rPr/>
            </w:pPr>
            <w:r>
              <w:rPr/>
            </w:r>
          </w:p>
        </w:tc>
        <w:tc>
          <w:tcPr>
            <w:tcW w:w="4788" w:type="dxa"/>
            <w:tcBorders/>
          </w:tcPr>
          <w:p>
            <w:pPr>
              <w:pStyle w:val="Normal"/>
              <w:keepNext w:val="true"/>
              <w:rPr/>
            </w:pPr>
            <w:r>
              <w:rPr/>
              <w:t>Respectfully submitted,</w:t>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pPr>
            <w:r>
              <w:rPr/>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pPr>
            <w:r>
              <w:rPr/>
            </w:r>
          </w:p>
        </w:tc>
      </w:tr>
      <w:tr>
        <w:trPr/>
        <w:tc>
          <w:tcPr>
            <w:tcW w:w="4788" w:type="dxa"/>
            <w:tcBorders/>
          </w:tcPr>
          <w:p>
            <w:pPr>
              <w:pStyle w:val="Normal"/>
              <w:keepNext w:val="true"/>
              <w:rPr/>
            </w:pPr>
            <w:r>
              <w:rPr/>
              <w:t>March 6, 2001</w:t>
            </w:r>
          </w:p>
        </w:tc>
        <w:tc>
          <w:tcPr>
            <w:tcW w:w="4788" w:type="dxa"/>
            <w:tcBorders/>
          </w:tcPr>
          <w:p>
            <w:pPr>
              <w:pStyle w:val="Normal"/>
              <w:keepNext w:val="true"/>
              <w:rPr/>
            </w:pPr>
            <w:r>
              <w:rPr/>
              <w:t>_______________________________</w:t>
            </w:r>
          </w:p>
        </w:tc>
      </w:tr>
      <w:tr>
        <w:trPr/>
        <w:tc>
          <w:tcPr>
            <w:tcW w:w="4788" w:type="dxa"/>
            <w:tcBorders/>
          </w:tcPr>
          <w:p>
            <w:pPr>
              <w:pStyle w:val="Normal"/>
              <w:keepNext w:val="true"/>
              <w:snapToGrid w:val="false"/>
              <w:rPr/>
            </w:pPr>
            <w:r>
              <w:rPr/>
            </w:r>
          </w:p>
        </w:tc>
        <w:tc>
          <w:tcPr>
            <w:tcW w:w="4788" w:type="dxa"/>
            <w:tcBorders/>
          </w:tcPr>
          <w:p>
            <w:pPr>
              <w:pStyle w:val="Normal"/>
              <w:keepNext w:val="true"/>
              <w:rPr/>
            </w:pPr>
            <w:r>
              <w:rPr/>
              <w:t>Larry F. Eisenstat</w:t>
            </w:r>
          </w:p>
        </w:tc>
      </w:tr>
      <w:tr>
        <w:trPr/>
        <w:tc>
          <w:tcPr>
            <w:tcW w:w="4788" w:type="dxa"/>
            <w:tcBorders/>
          </w:tcPr>
          <w:p>
            <w:pPr>
              <w:pStyle w:val="Normal"/>
              <w:keepNext w:val="true"/>
              <w:snapToGrid w:val="false"/>
              <w:rPr/>
            </w:pPr>
            <w:r>
              <w:rPr/>
            </w:r>
          </w:p>
        </w:tc>
        <w:tc>
          <w:tcPr>
            <w:tcW w:w="4788" w:type="dxa"/>
            <w:tcBorders/>
          </w:tcPr>
          <w:p>
            <w:pPr>
              <w:pStyle w:val="Normal"/>
              <w:keepNext w:val="true"/>
              <w:rPr/>
            </w:pPr>
            <w:r>
              <w:rPr/>
              <w:t>Gretchen Schott</w:t>
            </w:r>
          </w:p>
        </w:tc>
      </w:tr>
      <w:tr>
        <w:trPr/>
        <w:tc>
          <w:tcPr>
            <w:tcW w:w="4788" w:type="dxa"/>
            <w:tcBorders/>
          </w:tcPr>
          <w:p>
            <w:pPr>
              <w:pStyle w:val="Normal"/>
              <w:keepNext w:val="true"/>
              <w:snapToGrid w:val="false"/>
              <w:rPr/>
            </w:pPr>
            <w:r>
              <w:rPr/>
            </w:r>
          </w:p>
        </w:tc>
        <w:tc>
          <w:tcPr>
            <w:tcW w:w="4788" w:type="dxa"/>
            <w:tcBorders/>
          </w:tcPr>
          <w:p>
            <w:pPr>
              <w:pStyle w:val="Normal"/>
              <w:keepNext w:val="true"/>
              <w:rPr/>
            </w:pPr>
            <w:r>
              <w:rPr/>
              <w:t>Maria Farinella</w:t>
            </w:r>
          </w:p>
        </w:tc>
      </w:tr>
      <w:tr>
        <w:trPr/>
        <w:tc>
          <w:tcPr>
            <w:tcW w:w="4788" w:type="dxa"/>
            <w:tcBorders/>
          </w:tcPr>
          <w:p>
            <w:pPr>
              <w:pStyle w:val="Normal"/>
              <w:keepNext w:val="true"/>
              <w:snapToGrid w:val="false"/>
              <w:rPr/>
            </w:pPr>
            <w:r>
              <w:rPr/>
            </w:r>
          </w:p>
        </w:tc>
        <w:tc>
          <w:tcPr>
            <w:tcW w:w="4788" w:type="dxa"/>
            <w:tcBorders/>
          </w:tcPr>
          <w:p>
            <w:pPr>
              <w:pStyle w:val="Normal"/>
              <w:keepNext w:val="true"/>
              <w:rPr/>
            </w:pPr>
            <w:r>
              <w:rPr/>
              <w:t xml:space="preserve">Dickstein Shapiro Morin </w:t>
            </w:r>
            <w:r>
              <w:rPr>
                <w:i/>
              </w:rPr>
              <w:t>&amp;</w:t>
            </w:r>
            <w:r>
              <w:rPr/>
              <w:t xml:space="preserve"> Oshinsky LLP</w:t>
            </w:r>
          </w:p>
        </w:tc>
      </w:tr>
      <w:tr>
        <w:trPr/>
        <w:tc>
          <w:tcPr>
            <w:tcW w:w="4788" w:type="dxa"/>
            <w:tcBorders/>
          </w:tcPr>
          <w:p>
            <w:pPr>
              <w:pStyle w:val="Normal"/>
              <w:keepNext w:val="true"/>
              <w:snapToGrid w:val="false"/>
              <w:rPr/>
            </w:pPr>
            <w:r>
              <w:rPr/>
            </w:r>
          </w:p>
        </w:tc>
        <w:tc>
          <w:tcPr>
            <w:tcW w:w="4788" w:type="dxa"/>
            <w:tcBorders/>
          </w:tcPr>
          <w:p>
            <w:pPr>
              <w:pStyle w:val="Normal"/>
              <w:keepNext w:val="true"/>
              <w:rPr/>
            </w:pPr>
            <w:r>
              <w:rPr/>
              <w:t>2101 L Street, N.W.</w:t>
            </w:r>
          </w:p>
        </w:tc>
      </w:tr>
      <w:tr>
        <w:trPr/>
        <w:tc>
          <w:tcPr>
            <w:tcW w:w="4788" w:type="dxa"/>
            <w:tcBorders/>
          </w:tcPr>
          <w:p>
            <w:pPr>
              <w:pStyle w:val="Normal"/>
              <w:keepNext w:val="true"/>
              <w:snapToGrid w:val="false"/>
              <w:rPr/>
            </w:pPr>
            <w:r>
              <w:rPr/>
            </w:r>
          </w:p>
        </w:tc>
        <w:tc>
          <w:tcPr>
            <w:tcW w:w="4788" w:type="dxa"/>
            <w:tcBorders/>
          </w:tcPr>
          <w:p>
            <w:pPr>
              <w:pStyle w:val="Normal"/>
              <w:keepNext w:val="true"/>
              <w:rPr/>
            </w:pPr>
            <w:r>
              <w:rPr/>
              <w:t>Washington, D.C.  20037-1526</w:t>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pPr>
            <w:r>
              <w:rPr/>
            </w:r>
          </w:p>
        </w:tc>
      </w:tr>
      <w:tr>
        <w:trPr/>
        <w:tc>
          <w:tcPr>
            <w:tcW w:w="4788" w:type="dxa"/>
            <w:tcBorders/>
          </w:tcPr>
          <w:p>
            <w:pPr>
              <w:pStyle w:val="Normal"/>
              <w:keepNext w:val="true"/>
              <w:snapToGrid w:val="false"/>
              <w:rPr/>
            </w:pPr>
            <w:r>
              <w:rPr/>
            </w:r>
          </w:p>
        </w:tc>
        <w:tc>
          <w:tcPr>
            <w:tcW w:w="4788" w:type="dxa"/>
            <w:tcBorders/>
          </w:tcPr>
          <w:p>
            <w:pPr>
              <w:pStyle w:val="Normal"/>
              <w:keepNext w:val="true"/>
              <w:rPr/>
            </w:pPr>
            <w:r>
              <w:rPr/>
              <w:t>Counsel to Duke Energy North America, LLC</w:t>
            </w:r>
          </w:p>
        </w:tc>
      </w:tr>
      <w:tr>
        <w:trPr/>
        <w:tc>
          <w:tcPr>
            <w:tcW w:w="4788" w:type="dxa"/>
            <w:tcBorders/>
          </w:tcPr>
          <w:p>
            <w:pPr>
              <w:pStyle w:val="Normal"/>
              <w:keepNext w:val="true"/>
              <w:snapToGrid w:val="false"/>
              <w:rPr/>
            </w:pPr>
            <w:r>
              <w:rPr/>
            </w:r>
          </w:p>
        </w:tc>
        <w:tc>
          <w:tcPr>
            <w:tcW w:w="4788" w:type="dxa"/>
            <w:tcBorders/>
          </w:tcPr>
          <w:p>
            <w:pPr>
              <w:pStyle w:val="Normal"/>
              <w:keepNext w:val="true"/>
              <w:snapToGrid w:val="false"/>
              <w:rPr/>
            </w:pPr>
            <w:r>
              <w:rPr/>
            </w:r>
          </w:p>
          <w:p>
            <w:pPr>
              <w:pStyle w:val="Normal"/>
              <w:keepNext w:val="true"/>
              <w:rPr/>
            </w:pPr>
            <w:r>
              <w:rPr/>
            </w:r>
          </w:p>
          <w:p>
            <w:pPr>
              <w:pStyle w:val="Normal"/>
              <w:keepNext w:val="true"/>
              <w:rPr/>
            </w:pPr>
            <w:r>
              <w:rPr/>
              <w:t>_______________________________</w:t>
            </w:r>
          </w:p>
          <w:p>
            <w:pPr>
              <w:pStyle w:val="Normal"/>
              <w:keepNext w:val="true"/>
              <w:rPr/>
            </w:pPr>
            <w:r>
              <w:rPr/>
              <w:t>Christi L. Nicolay</w:t>
            </w:r>
          </w:p>
          <w:p>
            <w:pPr>
              <w:pStyle w:val="Normal"/>
              <w:keepNext w:val="true"/>
              <w:rPr/>
            </w:pPr>
            <w:r>
              <w:rPr/>
              <w:t>Sr. Director, Federal Regulatory Affairs</w:t>
            </w:r>
          </w:p>
          <w:p>
            <w:pPr>
              <w:pStyle w:val="Normal"/>
              <w:keepNext w:val="true"/>
              <w:rPr/>
            </w:pPr>
            <w:r>
              <w:rPr/>
              <w:t>Power Trading Group</w:t>
            </w:r>
          </w:p>
          <w:p>
            <w:pPr>
              <w:pStyle w:val="Normal"/>
              <w:keepNext w:val="true"/>
              <w:rPr/>
            </w:pPr>
            <w:r>
              <w:rPr/>
              <w:t>Enron Corp.</w:t>
            </w:r>
          </w:p>
          <w:p>
            <w:pPr>
              <w:pStyle w:val="Normal"/>
              <w:keepNext w:val="true"/>
              <w:rPr/>
            </w:pPr>
            <w:r>
              <w:rPr/>
              <w:t>1400 Smith Street</w:t>
            </w:r>
          </w:p>
          <w:p>
            <w:pPr>
              <w:pStyle w:val="Normal"/>
              <w:keepNext w:val="true"/>
              <w:rPr/>
            </w:pPr>
            <w:r>
              <w:rPr/>
              <w:t>Houston, TX  77002</w:t>
            </w:r>
          </w:p>
          <w:p>
            <w:pPr>
              <w:pStyle w:val="Normal"/>
              <w:keepNext w:val="true"/>
              <w:rPr/>
            </w:pPr>
            <w:r>
              <w:rPr/>
              <w:t>(713) 853-7007</w:t>
            </w:r>
          </w:p>
          <w:p>
            <w:pPr>
              <w:pStyle w:val="Normal"/>
              <w:keepNext w:val="true"/>
              <w:rPr/>
            </w:pPr>
            <w:r>
              <w:rPr/>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pStyle w:val="BodyTextStyle"/>
        <w:rPr>
          <w:b/>
        </w:rPr>
      </w:pPr>
      <w:r>
        <w:rPr>
          <w:b/>
        </w:rPr>
      </w:r>
    </w:p>
    <w:p>
      <w:pPr>
        <w:pStyle w:val="TitleStyle"/>
        <w:rPr>
          <w:u w:val="single"/>
        </w:rPr>
      </w:pPr>
      <w:r>
        <w:rPr>
          <w:u w:val="single"/>
        </w:rPr>
        <w:t>certificate of service</w:t>
      </w:r>
    </w:p>
    <w:p>
      <w:pPr>
        <w:pStyle w:val="TitleStyle"/>
        <w:rPr>
          <w:u w:val="single"/>
        </w:rPr>
      </w:pPr>
      <w:r>
        <w:rPr>
          <w:u w:val="single"/>
        </w:rPr>
      </w:r>
    </w:p>
    <w:p>
      <w:pPr>
        <w:pStyle w:val="BodyTextStyle"/>
        <w:rPr/>
      </w:pPr>
      <w:r>
        <w:rPr/>
        <w:t>I hereby certify that I have served a copy of the foregoing document</w:t>
      </w:r>
      <w:r>
        <w:rPr>
          <w:caps/>
        </w:rPr>
        <w:t xml:space="preserve"> </w:t>
      </w:r>
      <w:r>
        <w:rPr/>
        <w:t>by first class United States mail, postage prepaid, upon each person designated on the official service list compiled by the Secretary in this proceeding.</w:t>
      </w:r>
    </w:p>
    <w:p>
      <w:pPr>
        <w:pStyle w:val="BodyText"/>
        <w:rPr/>
      </w:pPr>
      <w:r>
        <w:rPr>
          <w:caps/>
        </w:rPr>
        <w:t>d</w:t>
      </w:r>
      <w:r>
        <w:rPr/>
        <w:t>ated at Washington, D.C. this 6</w:t>
      </w:r>
      <w:r>
        <w:rPr>
          <w:vertAlign w:val="superscript"/>
        </w:rPr>
        <w:t>th</w:t>
      </w:r>
      <w:r>
        <w:rPr/>
        <w:t xml:space="preserve"> day of March, 2001.</w:t>
      </w:r>
    </w:p>
    <w:p>
      <w:pPr>
        <w:pStyle w:val="Normal"/>
        <w:rPr/>
      </w:pPr>
      <w:r>
        <w:rPr/>
      </w:r>
    </w:p>
    <w:p>
      <w:pPr>
        <w:pStyle w:val="Normal"/>
        <w:rPr/>
      </w:pPr>
      <w:r>
        <w:rPr/>
      </w:r>
    </w:p>
    <w:p>
      <w:pPr>
        <w:pStyle w:val="SignatureBlock"/>
        <w:rPr/>
      </w:pPr>
      <w:r>
        <w:rPr/>
        <w:t>_______________________________</w:t>
      </w:r>
    </w:p>
    <w:p>
      <w:pPr>
        <w:pStyle w:val="SignatureBlock"/>
        <w:rPr>
          <w:b/>
        </w:rPr>
      </w:pPr>
      <w:r>
        <w:rPr/>
        <w:t>Maria Farinella</w:t>
      </w:r>
    </w:p>
    <w:p>
      <w:pPr>
        <w:pStyle w:val="BodyTextStyle"/>
        <w:rPr>
          <w:b/>
        </w:rPr>
      </w:pPr>
      <w:r>
        <w:rPr>
          <w:b/>
        </w:rPr>
      </w:r>
    </w:p>
    <w:p>
      <w:pPr>
        <w:pStyle w:val="BodyTextStyle"/>
        <w:rPr/>
      </w:pPr>
      <w:r>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1261136</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R13K01!.DOC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1261136</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R13K01!.DOC</w:t>
    </w:r>
    <w:r>
      <w:rPr>
        <w:sz w:val="12"/>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65100"/>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6510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1261136</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R13K01!.DOC</w:t>
    </w:r>
    <w:r>
      <w:rPr>
        <w:sz w:val="12"/>
        <w:rFonts w:cs="Arial" w:ascii="Arial" w:hAnsi="Arial"/>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1261136</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R13K01!.DOC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i/>
        </w:rPr>
        <w:t>Arizona Public Service Co.</w:t>
      </w:r>
      <w:r>
        <w:rPr/>
        <w:t>, 94 FERC ¶ 61,027 (2001) (“January 12 Order”).  On February 12, 2001, Duke Energy North America, LLC and Enron Power Marketing, Inc. filed a request for clarification or, in the alternative, rehearing of certain aspects of the January 12 Order.</w:t>
      </w:r>
    </w:p>
  </w:footnote>
  <w:footnote w:id="3">
    <w:p>
      <w:pPr>
        <w:pStyle w:val="FootnoteText"/>
        <w:spacing w:before="0" w:after="120"/>
        <w:rPr/>
      </w:pPr>
      <w:r>
        <w:rPr>
          <w:rStyle w:val="FootnoteCharacters"/>
        </w:rPr>
        <w:footnoteRef/>
      </w:r>
      <w:r>
        <w:rPr/>
        <w:t xml:space="preserve"> </w:t>
      </w:r>
      <w:r>
        <w:rPr/>
        <w:t xml:space="preserve">January 12 Order, 94 FERC at ______, </w:t>
      </w:r>
      <w:r>
        <w:rPr>
          <w:i/>
        </w:rPr>
        <w:t>mimeo</w:t>
      </w:r>
      <w:r>
        <w:rPr/>
        <w:t xml:space="preserve"> at 15.</w:t>
      </w:r>
    </w:p>
  </w:footnote>
  <w:footnote w:id="4">
    <w:p>
      <w:pPr>
        <w:pStyle w:val="FootnoteText"/>
        <w:spacing w:before="0" w:after="120"/>
        <w:rPr/>
      </w:pPr>
      <w:r>
        <w:rPr>
          <w:rStyle w:val="FootnoteCharacters"/>
        </w:rPr>
        <w:footnoteRef/>
      </w:r>
      <w:r>
        <w:rPr/>
        <w:t xml:space="preserve"> </w:t>
      </w:r>
      <w:r>
        <w:rPr/>
        <w:t>Interconnection Agreement, § 9.4.1.</w:t>
      </w:r>
    </w:p>
  </w:footnote>
  <w:footnote w:id="5">
    <w:p>
      <w:pPr>
        <w:pStyle w:val="FootnoteText"/>
        <w:spacing w:before="0" w:after="120"/>
        <w:rPr/>
      </w:pPr>
      <w:r>
        <w:rPr>
          <w:rStyle w:val="FootnoteCharacters"/>
        </w:rPr>
        <w:footnoteRef/>
      </w:r>
      <w:r>
        <w:rPr/>
        <w:t xml:space="preserve"> </w:t>
      </w:r>
      <w:r>
        <w:rPr/>
        <w:t xml:space="preserve">Section 9.4.1 states that “upon either the Customer or a third party ultimately securing transmission service . . . a transmission credit shall be allowed” and “the </w:t>
      </w:r>
      <w:r>
        <w:rPr>
          <w:i/>
        </w:rPr>
        <w:t>transmission customer</w:t>
      </w:r>
      <w:r>
        <w:rPr/>
        <w:t xml:space="preserve"> using the Transmission System for purposes of delivering Power from the Customer’s Facility shall receive a credit against its transmission rates for its payments for such facilities.”  (Emphasis added).</w:t>
      </w:r>
    </w:p>
  </w:footnote>
  <w:footnote w:id="6">
    <w:p>
      <w:pPr>
        <w:pStyle w:val="FootnoteText"/>
        <w:spacing w:before="0" w:after="120"/>
        <w:rPr/>
      </w:pPr>
      <w:r>
        <w:rPr>
          <w:rStyle w:val="FootnoteCharacters"/>
        </w:rPr>
        <w:footnoteRef/>
      </w:r>
      <w:r>
        <w:rPr/>
        <w:t xml:space="preserve"> </w:t>
      </w:r>
      <w:r>
        <w:rPr>
          <w:i/>
        </w:rPr>
        <w:t>See Duke Energy Corp.</w:t>
      </w:r>
      <w:r>
        <w:rPr/>
        <w:t xml:space="preserve">, 94 FERC ¶ 61,187 (2001) (stating that “the purpose of the credit is to compensate the generator for the costs of network upgrades once it begins to take transmission service.  While the credit may be transferred to a customer taking network service, the credit is nonetheless appropriately tied to the specific generator”); </w:t>
      </w:r>
      <w:r>
        <w:rPr>
          <w:i/>
        </w:rPr>
        <w:t>Southern Co. Services, Inc.</w:t>
      </w:r>
      <w:r>
        <w:rPr/>
        <w:t xml:space="preserve">, 94 FERC ¶ 61,131 (2001) (noting that the interconnection customer receives the credit – “[t]hus, it may be necessary for the utility to credit the interconnection customer for the costs of the upgrades once it begins taking transmission service”); and </w:t>
      </w:r>
      <w:r>
        <w:rPr>
          <w:i/>
        </w:rPr>
        <w:t>American Elec. Power Serv. Corp.</w:t>
      </w:r>
      <w:r>
        <w:rPr/>
        <w:t>, 91 FERC ¶ 61,308 (2000) (</w:t>
      </w:r>
      <w:r>
        <w:rPr>
          <w:i/>
        </w:rPr>
        <w:t>citing Entergy</w:t>
      </w:r>
      <w:r>
        <w:rPr/>
        <w:t xml:space="preserve">, 91 FERC at 61,560 and noting that the generator is the entity entitled to the credit – “[i]n Entergy, the Commission held that payment for these types of upgrades entitles the generator to credits against future transmission charges”).  </w:t>
      </w:r>
    </w:p>
  </w:footnote>
  <w:footnote w:id="7">
    <w:p>
      <w:pPr>
        <w:pStyle w:val="FootnoteText"/>
        <w:spacing w:before="0" w:after="120"/>
        <w:rPr/>
      </w:pPr>
      <w:r>
        <w:rPr>
          <w:rStyle w:val="FootnoteCharacters"/>
        </w:rPr>
        <w:footnoteRef/>
      </w:r>
      <w:r>
        <w:rPr/>
        <w:t xml:space="preserve"> </w:t>
      </w:r>
      <w:r>
        <w:rPr>
          <w:i/>
        </w:rPr>
        <w:t>E.g., Entergy Services Inc.</w:t>
      </w:r>
      <w:r>
        <w:rPr/>
        <w:t xml:space="preserve">, 91 FERC ¶ 61,149, at 61,560 (2000); </w:t>
      </w:r>
      <w:r>
        <w:rPr>
          <w:i/>
        </w:rPr>
        <w:t>American Elec. Power Serv. Corp.,</w:t>
      </w:r>
      <w:r>
        <w:rPr/>
        <w:t xml:space="preserve"> 91 FERC at 62,051-52; </w:t>
      </w:r>
      <w:r>
        <w:rPr>
          <w:i/>
        </w:rPr>
        <w:t>Carolina Power &amp; Light Co</w:t>
      </w:r>
      <w:r>
        <w:rPr/>
        <w:t xml:space="preserve">., 93 FERC ¶ 61,032, at 61,073-74 (2000); </w:t>
      </w:r>
      <w:r>
        <w:rPr>
          <w:i/>
        </w:rPr>
        <w:t>Virginia Elec. Power Co</w:t>
      </w:r>
      <w:r>
        <w:rPr/>
        <w:t xml:space="preserve">., 93 FERC ¶ 61,307, at 62,052 (2000); </w:t>
      </w:r>
      <w:r>
        <w:rPr>
          <w:i/>
        </w:rPr>
        <w:t>Duke Energy Corp</w:t>
      </w:r>
      <w:r>
        <w:rPr/>
        <w:t xml:space="preserve">., 94 FERC at ______, </w:t>
      </w:r>
      <w:r>
        <w:rPr>
          <w:i/>
        </w:rPr>
        <w:t>mimeo</w:t>
      </w:r>
      <w:r>
        <w:rPr/>
        <w:t xml:space="preserve"> at 8-9.  </w:t>
      </w:r>
    </w:p>
  </w:footnote>
  <w:footnote w:id="8">
    <w:p>
      <w:pPr>
        <w:pStyle w:val="FootnoteText"/>
        <w:spacing w:before="0" w:after="120"/>
        <w:rPr/>
      </w:pPr>
      <w:r>
        <w:rPr>
          <w:rStyle w:val="FootnoteCharacters"/>
        </w:rPr>
        <w:footnoteRef/>
      </w:r>
      <w:r>
        <w:rPr/>
        <w:t xml:space="preserve"> </w:t>
      </w:r>
      <w:r>
        <w:rPr/>
        <w:t>January 12 Order,</w:t>
      </w:r>
      <w:r>
        <w:rPr>
          <w:i/>
        </w:rPr>
        <w:t xml:space="preserve"> </w:t>
      </w:r>
      <w:r>
        <w:rPr/>
        <w:t xml:space="preserve">94 FERC at _____, </w:t>
      </w:r>
      <w:r>
        <w:rPr>
          <w:i/>
        </w:rPr>
        <w:t>mimeo</w:t>
      </w:r>
      <w:r>
        <w:rPr/>
        <w:t xml:space="preserve"> at 8.</w:t>
      </w:r>
    </w:p>
  </w:footnote>
  <w:footnote w:id="9">
    <w:p>
      <w:pPr>
        <w:pStyle w:val="FootnoteText"/>
        <w:spacing w:before="0" w:after="120"/>
        <w:rPr/>
      </w:pPr>
      <w:r>
        <w:rPr>
          <w:rStyle w:val="FootnoteCharacters"/>
        </w:rPr>
        <w:footnoteRef/>
      </w:r>
      <w:r>
        <w:rPr/>
        <w:t xml:space="preserve"> </w:t>
      </w:r>
      <w:r>
        <w:rPr>
          <w:i/>
        </w:rPr>
        <w:t xml:space="preserve">See </w:t>
      </w:r>
      <w:r>
        <w:rPr/>
        <w:t>Interconnection Agreement, Appendix A, Milestone Nos. 3 and 10.</w:t>
      </w:r>
    </w:p>
  </w:footnote>
  <w:footnote w:id="10">
    <w:p>
      <w:pPr>
        <w:pStyle w:val="FootnoteText"/>
        <w:spacing w:before="0" w:after="120"/>
        <w:rPr/>
      </w:pPr>
      <w:r>
        <w:rPr>
          <w:rStyle w:val="FootnoteCharacters"/>
        </w:rPr>
        <w:footnoteRef/>
      </w:r>
      <w:r>
        <w:rPr/>
        <w:t xml:space="preserve"> </w:t>
      </w:r>
      <w:r>
        <w:rPr>
          <w:i/>
        </w:rPr>
        <w:t>See</w:t>
      </w:r>
      <w:r>
        <w:rPr/>
        <w:t xml:space="preserve"> </w:t>
      </w:r>
      <w:r>
        <w:rPr>
          <w:i/>
        </w:rPr>
        <w:t>id</w:t>
      </w:r>
      <w:r>
        <w:rPr/>
        <w:t xml:space="preserve">. Milestone No. 4.  </w:t>
      </w:r>
    </w:p>
  </w:footnote>
  <w:footnote w:id="11">
    <w:p>
      <w:pPr>
        <w:pStyle w:val="FootnoteText"/>
        <w:spacing w:before="0" w:after="120"/>
        <w:rPr/>
      </w:pPr>
      <w:r>
        <w:rPr>
          <w:rStyle w:val="FootnoteCharacters"/>
        </w:rPr>
        <w:footnoteRef/>
      </w:r>
      <w:r>
        <w:rPr/>
        <w:t xml:space="preserve"> </w:t>
      </w:r>
      <w:r>
        <w:rPr/>
        <w:t>Interconnection Procedures § 5.</w:t>
      </w:r>
    </w:p>
  </w:footnote>
  <w:footnote w:id="12">
    <w:p>
      <w:pPr>
        <w:pStyle w:val="FootnoteText"/>
        <w:spacing w:before="0" w:after="120"/>
        <w:rPr/>
      </w:pPr>
      <w:r>
        <w:rPr>
          <w:rStyle w:val="FootnoteCharacters"/>
        </w:rPr>
        <w:footnoteRef/>
      </w:r>
      <w:r>
        <w:rPr/>
        <w:t xml:space="preserve"> </w:t>
      </w:r>
      <w:r>
        <w:rPr/>
        <w:t xml:space="preserve">Both the Interconnection Procedures and the IA indicate that a generator’s failure to meet the milestones set forth in the IA will result in the loss of its queue position.  </w:t>
      </w:r>
      <w:r>
        <w:rPr>
          <w:i/>
        </w:rPr>
        <w:t>See</w:t>
      </w:r>
      <w:r>
        <w:rPr/>
        <w:t xml:space="preserve"> Interconnection Procedures § 4; Interconnection Agreement, Appendix A.</w:t>
      </w:r>
    </w:p>
  </w:footnote>
  <w:footnote w:id="13">
    <w:p>
      <w:pPr>
        <w:pStyle w:val="FootnoteText"/>
        <w:spacing w:before="0" w:after="120"/>
        <w:rPr/>
      </w:pPr>
      <w:r>
        <w:rPr>
          <w:rStyle w:val="FootnoteCharacters"/>
        </w:rPr>
        <w:footnoteRef/>
      </w:r>
      <w:r>
        <w:rPr/>
        <w:t xml:space="preserve"> </w:t>
      </w:r>
      <w:r>
        <w:rPr>
          <w:i/>
        </w:rPr>
        <w:t>See Carolina Power &amp; Light Co.</w:t>
      </w:r>
      <w:r>
        <w:rPr/>
        <w:t xml:space="preserve">, 93 FERC at 61,071 (stating that “we expect that CP&amp;L and its customers will negotiate the details [of milestones] and file the interconnection agreements with the Commission”); </w:t>
      </w:r>
      <w:r>
        <w:rPr>
          <w:i/>
        </w:rPr>
        <w:t>Commonwealth Edison Co., et al.</w:t>
      </w:r>
      <w:r>
        <w:rPr/>
        <w:t xml:space="preserve">, 92 FERC ¶ 61,018, at 61,036 (2000) (noting that “we continue to believe that open and timely communications in the form of prior negotiation and agreement concerning the milestones will alleviate the risk of misunderstanding and disputes”); and </w:t>
      </w:r>
      <w:r>
        <w:rPr>
          <w:i/>
        </w:rPr>
        <w:t>Commonwealth Edison Co., et al.</w:t>
      </w:r>
      <w:r>
        <w:rPr/>
        <w:t xml:space="preserve">, 91 FERC ¶ 61,083, at 61,299 (2000) (stating that “Commonwealth Edison should adjust the milestones, where applicable, through negotiation”).  </w:t>
      </w:r>
    </w:p>
  </w:footnote>
  <w:footnote w:id="14">
    <w:p>
      <w:pPr>
        <w:pStyle w:val="FootnoteText"/>
        <w:spacing w:before="0" w:after="120"/>
        <w:rPr/>
      </w:pPr>
      <w:r>
        <w:rPr>
          <w:rStyle w:val="FootnoteCharacters"/>
        </w:rPr>
        <w:footnoteRef/>
      </w:r>
      <w:r>
        <w:rPr/>
        <w:t xml:space="preserve"> </w:t>
      </w:r>
      <w:r>
        <w:rPr>
          <w:i/>
        </w:rPr>
        <w:t>See, e.g.</w:t>
      </w:r>
      <w:r>
        <w:rPr/>
        <w:t>, PJM Interconnection Procedures § 36.8.5 (vesting PJM with the authority to reasonably extend any milestone dates set forth in an interconnection service agreement in the event of delays not caused by the interconnection customer).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 w:hAnsi="Galliard" w:eastAsia="Times New Roman" w:cs="Galliard"/>
      <w:color w:val="auto"/>
      <w:sz w:val="24"/>
      <w:szCs w:val="20"/>
      <w:lang w:val="en-US" w:eastAsia="zh-CN" w:bidi="hi-IN"/>
    </w:rPr>
  </w:style>
  <w:style w:type="paragraph" w:styleId="Heading1">
    <w:name w:val="heading 1"/>
    <w:basedOn w:val="Normal"/>
    <w:next w:val="BodyText"/>
    <w:qFormat/>
    <w:pPr>
      <w:numPr>
        <w:ilvl w:val="0"/>
        <w:numId w:val="1"/>
      </w:numPr>
      <w:spacing w:before="260" w:after="0"/>
      <w:outlineLvl w:val="0"/>
    </w:pPr>
    <w:rPr>
      <w:b/>
      <w:kern w:val="2"/>
    </w:rPr>
  </w:style>
  <w:style w:type="paragraph" w:styleId="Heading2">
    <w:name w:val="heading 2"/>
    <w:basedOn w:val="Normal"/>
    <w:next w:val="BodyText"/>
    <w:qFormat/>
    <w:pPr>
      <w:numPr>
        <w:ilvl w:val="1"/>
        <w:numId w:val="1"/>
      </w:numPr>
      <w:spacing w:before="260" w:after="0"/>
      <w:outlineLvl w:val="1"/>
    </w:pPr>
    <w:rPr>
      <w:b/>
    </w:rPr>
  </w:style>
  <w:style w:type="paragraph" w:styleId="Heading3">
    <w:name w:val="heading 3"/>
    <w:basedOn w:val="Normal"/>
    <w:next w:val="BodyText"/>
    <w:qFormat/>
    <w:pPr>
      <w:numPr>
        <w:ilvl w:val="2"/>
        <w:numId w:val="1"/>
      </w:numPr>
      <w:spacing w:before="260" w:after="0"/>
      <w:outlineLvl w:val="2"/>
    </w:pPr>
    <w:rPr>
      <w:b/>
    </w:rPr>
  </w:style>
  <w:style w:type="paragraph" w:styleId="Heading4">
    <w:name w:val="heading 4"/>
    <w:basedOn w:val="Normal"/>
    <w:next w:val="BodyText"/>
    <w:qFormat/>
    <w:pPr>
      <w:numPr>
        <w:ilvl w:val="3"/>
        <w:numId w:val="1"/>
      </w:numPr>
      <w:spacing w:before="260" w:after="0"/>
      <w:outlineLvl w:val="3"/>
    </w:pPr>
    <w:rPr>
      <w:b/>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before="0" w:after="273"/>
      <w:ind w:firstLine="1080" w:start="0" w:end="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TitleStyle">
    <w:name w:val="Title Style"/>
    <w:basedOn w:val="Normal"/>
    <w:qFormat/>
    <w:pPr>
      <w:spacing w:lineRule="auto" w:line="240"/>
      <w:jc w:val="center"/>
    </w:pPr>
    <w:rPr>
      <w:b/>
      <w:caps/>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z w:val="22"/>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2001-03-01T13:13:00Z</dcterms:created>
  <dc:creator>DSMO</dc:creator>
  <dc:description/>
  <dc:language>en-CA</dc:language>
  <cp:lastModifiedBy>DSMO</cp:lastModifiedBy>
  <cp:lastPrinted>2001-03-06T09:45:00Z</cp:lastPrinted>
  <dcterms:modified xsi:type="dcterms:W3CDTF">2001-03-06T12:16:00Z</dcterms:modified>
  <cp:revision>18</cp:revision>
  <dc:subject/>
  <dc:title>APS compliance filing 3-1-01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R13K01!.DOC</vt:lpwstr>
  </property>
  <property fmtid="{D5CDD505-2E9C-101B-9397-08002B2CF9AE}" pid="3" name="DOCSDocVer">
    <vt:lpwstr>1</vt:lpwstr>
  </property>
  <property fmtid="{D5CDD505-2E9C-101B-9397-08002B2CF9AE}" pid="4" name="DOCSNumber">
    <vt:lpwstr>1261136</vt:lpwstr>
  </property>
</Properties>
</file>