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ullet"/>
        <w:numPr>
          <w:ilvl w:val="0"/>
          <w:numId w:val="0"/>
        </w:numPr>
        <w:ind w:hanging="0" w:start="0"/>
        <w:rPr>
          <w:sz w:val="72"/>
        </w:rPr>
      </w:pPr>
      <w:r>
        <w:rPr>
          <w:sz w:val="72"/>
        </w:rPr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>
          <w:sz w:val="96"/>
        </w:rPr>
      </w:pPr>
      <w:r>
        <w:rPr>
          <w:sz w:val="96"/>
        </w:rPr>
        <w:t>Summary of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The Comprehensive Settlement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For SoCalGas</w:t>
      </w:r>
    </w:p>
    <w:p>
      <w:pPr>
        <w:sectPr>
          <w:headerReference w:type="default" r:id="rId2"/>
          <w:type w:val="nextPage"/>
          <w:pgSz w:orient="landscape" w:w="15840" w:h="12240"/>
          <w:pgMar w:left="1440" w:right="1440" w:gutter="0" w:header="720" w:top="1800" w:footer="0" w:bottom="1800"/>
          <w:pgNumType w:fmt="decimal"/>
          <w:formProt w:val="false"/>
          <w:textDirection w:val="lrTb"/>
          <w:docGrid w:type="default" w:linePitch="360" w:charSpace="0"/>
        </w:sect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In the Gas Restructuring OII</w:t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/>
      </w:pPr>
      <w:r>
        <w:rPr/>
        <w:t>CURENT STATUS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The Comprehensive Settlement which implements most of the goals of the CPUC’s “Most Promising Options” decision is supported by SoCalGas, Edison (except for retail issues), CIG/CMA, ORA, Dynegy, Indicated Producers, Enron, Calpine, Vernon, TW Pipeline etc.</w:t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Interim Settlement and Post Interim Settlement (which basically modifies operating parameters but maintains the current regulatory structure) are now supported actively only by SCGC and TURN.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>
          <w:sz w:val="44"/>
        </w:rPr>
      </w:pPr>
      <w:r>
        <w:rPr>
          <w:sz w:val="44"/>
        </w:rPr>
        <w:t>Comprehensive Settlement – Principles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44"/>
        </w:rPr>
      </w:pPr>
      <w:r>
        <w:rPr>
          <w:sz w:val="44"/>
        </w:rPr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No Significant Cost Shift between core and noncore customer classes except for ITCS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Promotes increased competition, reduces market concentration and provides a cost based allocation of resources for transmission, storage, and balancing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Provides for core unbundling, improves economic viability of CTAs, and brings the benefits of unbundling to core customers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Returns to embedded cost prices rather than Scaled Long Run Marginal Cost based prices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Separates Core Procurement from SoCalGas gas transportation and storage operations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Permits SoCalGas reasonable recovery of the costs of implementation.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/>
      </w:pPr>
      <w:r>
        <w:rPr/>
        <w:t>Comprehensive Settlement – Receipt Point Capacity Access Rights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Ends Windowing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Firm receipt point capacity at postage stamp rates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(inc. CTAs and Wholesale) may elect access rights to match upstream capacity contracts.  Remaining receipt point capacity made available through an open season, with end-use customers given preferential access.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SFV or MFV rates for Backbone capacity and volumetric rates for Local Transmission - SoCalGas 100% at risk for all throughput.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an Active Secondary Market for Capacity 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“Pooling” to improve market liquidity.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>
          <w:sz w:val="36"/>
        </w:rPr>
      </w:pPr>
      <w:r>
        <w:rPr/>
        <w:t>Comprehensive Settlement – Storage and Balancing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Customers may choose to “Self-balance” rather than paying SoCalGas for default balancing SoCalGas will be 100% at risk for storage, 3 year phased implementation.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an Active Secondary market for storage rights.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Provides for trading of imbalance rights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/>
      </w:pPr>
      <w:r>
        <w:rPr/>
        <w:t>Comprehensive Settlement – Core Interstate Unbundling and ITCS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will sell capacity excess to core’s needs 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Stranded costs from sale of excess interstate capacity will be split 50/50 between Core and Noncore(non-core’s share capped at $2 million  in 2000, and at $5 million in 2001.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After 2001, Core will not pay traditional ITCS, and Noncore will not pay any share of interstate capacity costs reserved for core needs.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/>
      </w:pPr>
      <w:r>
        <w:rPr/>
        <w:t>Comprehensive Settlement – Retail Issues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Increased billing/usage data made available to customers.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CTAs may have SoCalGas bill for them, or may receive a billing credit from SoCalGas ($0.78 for Residential, $1.16 for others).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Pilot program of 500 customer owned meters and 1,500 meter add-ons (Must meet SoCalGas defined safety standards)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Procurement treated like any CTA customer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Subscription service for Noncore is terminated.</w:t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0"/>
        </w:numPr>
        <w:spacing w:before="0" w:after="240"/>
        <w:ind w:hanging="1350" w:start="1350" w:end="0"/>
        <w:rPr/>
      </w:pPr>
      <w:r>
        <w:rPr/>
        <w:t>(Note: Edison neither supports nor opposes the retail issues in this settlement)</w:t>
      </w:r>
    </w:p>
    <w:sectPr>
      <w:headerReference w:type="default" r:id="rId3"/>
      <w:headerReference w:type="first" r:id="rId4"/>
      <w:footerReference w:type="default" r:id="rId5"/>
      <w:type w:val="nextPage"/>
      <w:pgSz w:orient="landscape" w:w="15840" w:h="12240"/>
      <w:pgMar w:left="1440" w:right="1440" w:gutter="0" w:header="720" w:top="1530" w:footer="720" w:bottom="126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2780" w:leader="none"/>
      </w:tabs>
      <w:spacing w:before="0" w:after="240"/>
      <w:rPr/>
    </w:pPr>
    <w:r>
      <w:rPr/>
      <w:t>Summary of Comprehensive Settlement in the Gas Restructuring OII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2870" w:leader="none"/>
      </w:tabs>
      <w:spacing w:before="0" w:after="240"/>
      <w:rPr/>
    </w:pPr>
    <w:r>
      <w:rPr/>
      <w:tab/>
      <w:tab/>
      <w:t>Privileged Under Rule 51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2870" w:leader="none"/>
      </w:tabs>
      <w:spacing w:before="0" w:after="240"/>
      <w:rPr/>
    </w:pPr>
    <w:r>
      <w:rPr/>
      <w:tab/>
      <w:tab/>
      <w:t>Privileged Under Rule 51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">
    <w:name w:val="Bullet"/>
    <w:basedOn w:val="Normal"/>
    <w:qFormat/>
    <w:pPr>
      <w:numPr>
        <w:ilvl w:val="0"/>
        <w:numId w:val="1"/>
      </w:numPr>
    </w:pPr>
    <w:rPr>
      <w:sz w:val="4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2000-05-10T19:01:00Z</dcterms:created>
  <dc:creator>Michael S. Alexander</dc:creator>
  <dc:description/>
  <dc:language>en-CA</dc:language>
  <cp:lastModifiedBy>Michael B. Day</cp:lastModifiedBy>
  <cp:lastPrinted>2000-05-10T13:30:00Z</cp:lastPrinted>
  <dcterms:modified xsi:type="dcterms:W3CDTF">2000-05-10T19:01:00Z</dcterms:modified>
  <cp:revision>2</cp:revision>
  <dc:subject/>
  <dc:title>Talking points summary of Comprehensive settlement  (APRILB~1.DOC;1)</dc:title>
</cp:coreProperties>
</file>