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ullet"/>
        <w:numPr>
          <w:ilvl w:val="0"/>
          <w:numId w:val="0"/>
        </w:numPr>
        <w:ind w:hanging="0" w:start="0"/>
        <w:rPr>
          <w:sz w:val="72"/>
        </w:rPr>
      </w:pPr>
      <w:r>
        <w:rPr>
          <w:sz w:val="72"/>
        </w:rPr>
      </w:r>
    </w:p>
    <w:p>
      <w:pPr>
        <w:pStyle w:val="Bullet"/>
        <w:numPr>
          <w:ilvl w:val="0"/>
          <w:numId w:val="0"/>
        </w:numPr>
        <w:ind w:hanging="0" w:start="0"/>
        <w:jc w:val="center"/>
        <w:outlineLvl w:val="0"/>
        <w:rPr>
          <w:sz w:val="96"/>
        </w:rPr>
      </w:pPr>
      <w:r>
        <w:rPr>
          <w:sz w:val="96"/>
        </w:rPr>
        <w:t>Summary of</w:t>
      </w:r>
    </w:p>
    <w:p>
      <w:pPr>
        <w:pStyle w:val="Bullet"/>
        <w:numPr>
          <w:ilvl w:val="0"/>
          <w:numId w:val="0"/>
        </w:numPr>
        <w:ind w:hanging="0" w:start="0"/>
        <w:jc w:val="center"/>
        <w:rPr>
          <w:sz w:val="96"/>
        </w:rPr>
      </w:pPr>
      <w:r>
        <w:rPr>
          <w:sz w:val="96"/>
        </w:rPr>
        <w:t>The Comprehensive Settlement</w:t>
      </w:r>
    </w:p>
    <w:p>
      <w:pPr>
        <w:pStyle w:val="Bullet"/>
        <w:numPr>
          <w:ilvl w:val="0"/>
          <w:numId w:val="0"/>
        </w:numPr>
        <w:ind w:hanging="0" w:start="0"/>
        <w:jc w:val="center"/>
        <w:rPr>
          <w:sz w:val="96"/>
        </w:rPr>
      </w:pPr>
      <w:r>
        <w:rPr>
          <w:sz w:val="96"/>
        </w:rPr>
        <w:t>For SoCalGas</w:t>
      </w:r>
    </w:p>
    <w:p>
      <w:pPr>
        <w:sectPr>
          <w:headerReference w:type="default" r:id="rId2"/>
          <w:type w:val="nextPage"/>
          <w:pgSz w:orient="landscape" w:w="15840" w:h="12240"/>
          <w:pgMar w:left="1440" w:right="1440" w:gutter="0" w:header="720" w:top="1800" w:footer="0" w:bottom="1800"/>
          <w:pgNumType w:fmt="decimal"/>
          <w:formProt w:val="false"/>
          <w:textDirection w:val="lrTb"/>
          <w:docGrid w:type="default" w:linePitch="360" w:charSpace="0"/>
        </w:sectPr>
        <w:pStyle w:val="Bullet"/>
        <w:numPr>
          <w:ilvl w:val="0"/>
          <w:numId w:val="0"/>
        </w:numPr>
        <w:ind w:hanging="0" w:start="0"/>
        <w:jc w:val="center"/>
        <w:rPr>
          <w:sz w:val="96"/>
        </w:rPr>
      </w:pPr>
      <w:r>
        <w:rPr>
          <w:sz w:val="96"/>
        </w:rPr>
        <w:t>In the Gas Restructuring OII</w:t>
      </w:r>
    </w:p>
    <w:p>
      <w:pPr>
        <w:pStyle w:val="Bullet"/>
        <w:numPr>
          <w:ilvl w:val="0"/>
          <w:numId w:val="0"/>
        </w:numPr>
        <w:ind w:hanging="0" w:start="0"/>
        <w:jc w:val="center"/>
        <w:outlineLvl w:val="0"/>
        <w:rPr/>
      </w:pPr>
      <w:r>
        <w:rPr/>
        <w:t>CURENT STATUS</w:t>
      </w:r>
    </w:p>
    <w:p>
      <w:pPr>
        <w:pStyle w:val="Bullet"/>
        <w:numPr>
          <w:ilvl w:val="0"/>
          <w:numId w:val="0"/>
        </w:numPr>
        <w:ind w:hanging="0" w:start="0"/>
        <w:rPr/>
      </w:pPr>
      <w:r>
        <w:rPr/>
      </w:r>
    </w:p>
    <w:p>
      <w:pPr>
        <w:pStyle w:val="Bullet"/>
        <w:numPr>
          <w:ilvl w:val="0"/>
          <w:numId w:val="1"/>
        </w:numPr>
        <w:ind w:hanging="0" w:start="0"/>
        <w:rPr/>
      </w:pPr>
      <w:r>
        <w:rPr/>
        <w:t>The Comprehensive Settlement which implements most of the goals of the CPUC’s “Most Promising Options” decision is supported by SoCalGas, Edison (except for retail issues), CIG/CMA, ORA, Dynegy, Indicated Producers, Enron, Calpine, Vernon, TW Pipeline etc.</w:t>
      </w:r>
    </w:p>
    <w:p>
      <w:pPr>
        <w:pStyle w:val="Bullet"/>
        <w:numPr>
          <w:ilvl w:val="0"/>
          <w:numId w:val="0"/>
        </w:numPr>
        <w:ind w:hanging="360" w:start="360" w:end="0"/>
        <w:rPr/>
      </w:pPr>
      <w:r>
        <w:rPr/>
      </w:r>
    </w:p>
    <w:p>
      <w:pPr>
        <w:pStyle w:val="Bullet"/>
        <w:numPr>
          <w:ilvl w:val="0"/>
          <w:numId w:val="0"/>
        </w:numPr>
        <w:ind w:hanging="360" w:start="360" w:end="0"/>
        <w:rPr/>
      </w:pPr>
      <w:r>
        <w:rPr/>
      </w:r>
    </w:p>
    <w:p>
      <w:pPr>
        <w:pStyle w:val="Bullet"/>
        <w:numPr>
          <w:ilvl w:val="0"/>
          <w:numId w:val="1"/>
        </w:numPr>
        <w:ind w:hanging="0" w:start="0"/>
        <w:rPr/>
      </w:pPr>
      <w:r>
        <w:rPr/>
        <w:t>Interim Settlement and Post Interim Settlement (which basically modifies operating parameters but maintains the current regulatory structure) are now supported actively only by SCGC and TURN.</w:t>
      </w:r>
      <w:r>
        <w:br w:type="page"/>
      </w:r>
    </w:p>
    <w:p>
      <w:pPr>
        <w:pStyle w:val="Bullet"/>
        <w:numPr>
          <w:ilvl w:val="0"/>
          <w:numId w:val="0"/>
        </w:numPr>
        <w:ind w:hanging="0" w:start="0"/>
        <w:jc w:val="center"/>
        <w:outlineLvl w:val="0"/>
        <w:rPr>
          <w:sz w:val="44"/>
        </w:rPr>
      </w:pPr>
      <w:r>
        <w:rPr>
          <w:sz w:val="44"/>
        </w:rPr>
        <w:t>Comprehensive Settlement – Principles</w:t>
      </w:r>
    </w:p>
    <w:p>
      <w:pPr>
        <w:pStyle w:val="Bullet"/>
        <w:numPr>
          <w:ilvl w:val="0"/>
          <w:numId w:val="0"/>
        </w:numPr>
        <w:ind w:hanging="0" w:start="0"/>
        <w:jc w:val="center"/>
        <w:rPr>
          <w:sz w:val="44"/>
        </w:rPr>
      </w:pPr>
      <w:r>
        <w:rPr>
          <w:sz w:val="44"/>
        </w:rPr>
      </w:r>
    </w:p>
    <w:p>
      <w:pPr>
        <w:pStyle w:val="Bullet"/>
        <w:numPr>
          <w:ilvl w:val="0"/>
          <w:numId w:val="1"/>
        </w:numPr>
        <w:ind w:hanging="0" w:start="0"/>
        <w:rPr>
          <w:sz w:val="44"/>
        </w:rPr>
      </w:pPr>
      <w:r>
        <w:rPr>
          <w:sz w:val="44"/>
        </w:rPr>
        <w:t>No Significant Cost Shift between core and noncore customer classes except for ITCS</w:t>
      </w:r>
    </w:p>
    <w:p>
      <w:pPr>
        <w:pStyle w:val="Bullet"/>
        <w:numPr>
          <w:ilvl w:val="0"/>
          <w:numId w:val="1"/>
        </w:numPr>
        <w:ind w:hanging="0" w:start="0"/>
        <w:rPr>
          <w:sz w:val="44"/>
        </w:rPr>
      </w:pPr>
      <w:r>
        <w:rPr>
          <w:sz w:val="44"/>
        </w:rPr>
        <w:t>Promotes increased competition, reduces market concentration and provides a cost based allocation of resources for transmission, storage, and balancing</w:t>
      </w:r>
    </w:p>
    <w:p>
      <w:pPr>
        <w:pStyle w:val="Bullet"/>
        <w:numPr>
          <w:ilvl w:val="0"/>
          <w:numId w:val="1"/>
        </w:numPr>
        <w:ind w:hanging="0" w:start="0"/>
        <w:rPr>
          <w:sz w:val="44"/>
        </w:rPr>
      </w:pPr>
      <w:r>
        <w:rPr>
          <w:sz w:val="44"/>
        </w:rPr>
        <w:t>Provides for core unbundling, improves economic viability of CTAs, and brings the benefits of unbundling to core customers</w:t>
      </w:r>
    </w:p>
    <w:p>
      <w:pPr>
        <w:pStyle w:val="Bullet"/>
        <w:numPr>
          <w:ilvl w:val="0"/>
          <w:numId w:val="1"/>
        </w:numPr>
        <w:ind w:hanging="0" w:start="0"/>
        <w:rPr>
          <w:sz w:val="44"/>
        </w:rPr>
      </w:pPr>
      <w:r>
        <w:rPr>
          <w:sz w:val="44"/>
        </w:rPr>
        <w:t>Returns to embedded cost prices rather than Scaled Long Run Marginal Cost based prices</w:t>
      </w:r>
    </w:p>
    <w:p>
      <w:pPr>
        <w:pStyle w:val="Bullet"/>
        <w:numPr>
          <w:ilvl w:val="0"/>
          <w:numId w:val="1"/>
        </w:numPr>
        <w:ind w:hanging="0" w:start="0"/>
        <w:rPr>
          <w:sz w:val="44"/>
        </w:rPr>
      </w:pPr>
      <w:r>
        <w:rPr>
          <w:sz w:val="44"/>
        </w:rPr>
        <w:t>Separates Core Procurement from SoCalGas gas transportation and storage operations</w:t>
      </w:r>
    </w:p>
    <w:p>
      <w:pPr>
        <w:pStyle w:val="Bullet"/>
        <w:numPr>
          <w:ilvl w:val="0"/>
          <w:numId w:val="1"/>
        </w:numPr>
        <w:ind w:hanging="0" w:start="0"/>
        <w:rPr>
          <w:sz w:val="44"/>
        </w:rPr>
      </w:pPr>
      <w:r>
        <w:rPr>
          <w:sz w:val="44"/>
        </w:rPr>
        <w:t>Permits SoCalGas reasonable recovery of the costs of implementation.</w:t>
      </w:r>
      <w:r>
        <w:br w:type="page"/>
      </w:r>
    </w:p>
    <w:p>
      <w:pPr>
        <w:pStyle w:val="Bullet"/>
        <w:numPr>
          <w:ilvl w:val="0"/>
          <w:numId w:val="0"/>
        </w:numPr>
        <w:ind w:hanging="0" w:start="0"/>
        <w:jc w:val="center"/>
        <w:outlineLvl w:val="0"/>
        <w:rPr/>
      </w:pPr>
      <w:r>
        <w:rPr/>
        <w:t>Comprehensive Settlement – Receipt Point Capacity Access Rights</w:t>
      </w:r>
    </w:p>
    <w:p>
      <w:pPr>
        <w:pStyle w:val="Bullet"/>
        <w:numPr>
          <w:ilvl w:val="0"/>
          <w:numId w:val="0"/>
        </w:numPr>
        <w:ind w:hanging="0" w:start="0"/>
        <w:jc w:val="center"/>
        <w:rPr>
          <w:sz w:val="36"/>
        </w:rPr>
      </w:pPr>
      <w:r>
        <w:rPr>
          <w:sz w:val="36"/>
        </w:rPr>
      </w:r>
    </w:p>
    <w:p>
      <w:pPr>
        <w:pStyle w:val="Bullet"/>
        <w:numPr>
          <w:ilvl w:val="0"/>
          <w:numId w:val="1"/>
        </w:numPr>
        <w:ind w:hanging="0" w:start="0"/>
        <w:rPr/>
      </w:pPr>
      <w:r>
        <w:rPr/>
        <w:t>Ends Windowing</w:t>
      </w:r>
    </w:p>
    <w:p>
      <w:pPr>
        <w:pStyle w:val="Bullet"/>
        <w:numPr>
          <w:ilvl w:val="0"/>
          <w:numId w:val="1"/>
        </w:numPr>
        <w:ind w:hanging="0" w:start="0"/>
        <w:rPr/>
      </w:pPr>
      <w:r>
        <w:rPr/>
        <w:t>Establishes Firm receipt point capacity at postage stamp rates</w:t>
      </w:r>
    </w:p>
    <w:p>
      <w:pPr>
        <w:pStyle w:val="Bullet"/>
        <w:numPr>
          <w:ilvl w:val="0"/>
          <w:numId w:val="1"/>
        </w:numPr>
        <w:ind w:hanging="0" w:start="0"/>
        <w:rPr/>
      </w:pPr>
      <w:r>
        <w:rPr/>
        <w:t>Core (inc. CTAs and Wholesale) may elect access rights to match upstream capacity contracts.  Remaining receipt point capacity made available through an open season, with end-use customers given preferential access.</w:t>
      </w:r>
    </w:p>
    <w:p>
      <w:pPr>
        <w:pStyle w:val="Bullet"/>
        <w:numPr>
          <w:ilvl w:val="0"/>
          <w:numId w:val="1"/>
        </w:numPr>
        <w:ind w:hanging="0" w:start="0"/>
        <w:rPr/>
      </w:pPr>
      <w:r>
        <w:rPr/>
        <w:t>SFV or MFV rates for Backbone capacity and volumetric rates for Local Transmission - SoCalGas 100% at risk for all throughput.</w:t>
      </w:r>
    </w:p>
    <w:p>
      <w:pPr>
        <w:pStyle w:val="Bullet"/>
        <w:numPr>
          <w:ilvl w:val="0"/>
          <w:numId w:val="1"/>
        </w:numPr>
        <w:ind w:hanging="0" w:start="0"/>
        <w:rPr/>
      </w:pPr>
      <w:r>
        <w:rPr/>
        <w:t>Establishes an Active Secondary Market for Capacity .</w:t>
      </w:r>
    </w:p>
    <w:p>
      <w:pPr>
        <w:pStyle w:val="Bullet"/>
        <w:numPr>
          <w:ilvl w:val="0"/>
          <w:numId w:val="1"/>
        </w:numPr>
        <w:ind w:hanging="0" w:start="0"/>
        <w:rPr/>
      </w:pPr>
      <w:r>
        <w:rPr/>
        <w:t>Establishes “Pooling” to improve market liquidity.</w:t>
      </w:r>
      <w:r>
        <w:br w:type="page"/>
      </w:r>
    </w:p>
    <w:p>
      <w:pPr>
        <w:pStyle w:val="Bullet"/>
        <w:numPr>
          <w:ilvl w:val="0"/>
          <w:numId w:val="0"/>
        </w:numPr>
        <w:ind w:hanging="0" w:start="0"/>
        <w:jc w:val="center"/>
        <w:outlineLvl w:val="0"/>
        <w:rPr>
          <w:sz w:val="36"/>
        </w:rPr>
      </w:pPr>
      <w:r>
        <w:rPr/>
        <w:t>Comprehensive Settlement – Storage and Balancing</w:t>
      </w:r>
    </w:p>
    <w:p>
      <w:pPr>
        <w:pStyle w:val="Bullet"/>
        <w:numPr>
          <w:ilvl w:val="0"/>
          <w:numId w:val="0"/>
        </w:numPr>
        <w:ind w:hanging="0" w:start="0"/>
        <w:jc w:val="center"/>
        <w:rPr>
          <w:sz w:val="36"/>
        </w:rPr>
      </w:pPr>
      <w:r>
        <w:rPr>
          <w:sz w:val="36"/>
        </w:rPr>
      </w:r>
    </w:p>
    <w:p>
      <w:pPr>
        <w:pStyle w:val="Bullet"/>
        <w:numPr>
          <w:ilvl w:val="0"/>
          <w:numId w:val="1"/>
        </w:numPr>
        <w:ind w:hanging="0" w:start="0"/>
        <w:rPr/>
      </w:pPr>
      <w:r>
        <w:rPr/>
        <w:t>Customers may choose to “Self-balance” rather than paying SoCalGas for default balancing SoCalGas will be 100% at risk for storage, 3 year phased implementation.</w:t>
      </w:r>
    </w:p>
    <w:p>
      <w:pPr>
        <w:pStyle w:val="Bullet"/>
        <w:numPr>
          <w:ilvl w:val="0"/>
          <w:numId w:val="1"/>
        </w:numPr>
        <w:ind w:hanging="0" w:start="0"/>
        <w:rPr/>
      </w:pPr>
      <w:r>
        <w:rPr/>
        <w:t>Establishes an Active Secondary market for storage rights.</w:t>
      </w:r>
    </w:p>
    <w:p>
      <w:pPr>
        <w:pStyle w:val="Bullet"/>
        <w:numPr>
          <w:ilvl w:val="0"/>
          <w:numId w:val="1"/>
        </w:numPr>
        <w:ind w:hanging="0" w:start="0"/>
        <w:rPr/>
      </w:pPr>
      <w:r>
        <w:rPr/>
        <w:t>Provides for trading of imbalance rights</w:t>
      </w:r>
    </w:p>
    <w:p>
      <w:pPr>
        <w:pStyle w:val="Bullet"/>
        <w:numPr>
          <w:ilvl w:val="0"/>
          <w:numId w:val="0"/>
        </w:numPr>
        <w:ind w:hanging="0" w:start="0"/>
        <w:rPr/>
      </w:pPr>
      <w:r>
        <w:rPr/>
      </w:r>
      <w:r>
        <w:br w:type="page"/>
      </w:r>
    </w:p>
    <w:p>
      <w:pPr>
        <w:pStyle w:val="Bullet"/>
        <w:numPr>
          <w:ilvl w:val="0"/>
          <w:numId w:val="0"/>
        </w:numPr>
        <w:ind w:hanging="0" w:start="0"/>
        <w:jc w:val="center"/>
        <w:outlineLvl w:val="0"/>
        <w:rPr/>
      </w:pPr>
      <w:r>
        <w:rPr/>
        <w:t>Comprehensive Settlement – Core Interstate Unbundling and ITCS</w:t>
      </w:r>
    </w:p>
    <w:p>
      <w:pPr>
        <w:pStyle w:val="Bullet"/>
        <w:numPr>
          <w:ilvl w:val="0"/>
          <w:numId w:val="0"/>
        </w:numPr>
        <w:ind w:hanging="0" w:start="0"/>
        <w:jc w:val="center"/>
        <w:rPr>
          <w:sz w:val="36"/>
        </w:rPr>
      </w:pPr>
      <w:r>
        <w:rPr>
          <w:sz w:val="36"/>
        </w:rPr>
      </w:r>
    </w:p>
    <w:p>
      <w:pPr>
        <w:pStyle w:val="Bullet"/>
        <w:numPr>
          <w:ilvl w:val="0"/>
          <w:numId w:val="1"/>
        </w:numPr>
        <w:ind w:hanging="0" w:start="0"/>
        <w:rPr/>
      </w:pPr>
      <w:r>
        <w:rPr/>
        <w:t>Core will sell capacity excess to core’s needs .</w:t>
      </w:r>
    </w:p>
    <w:p>
      <w:pPr>
        <w:pStyle w:val="Bullet"/>
        <w:numPr>
          <w:ilvl w:val="0"/>
          <w:numId w:val="1"/>
        </w:numPr>
        <w:ind w:hanging="0" w:start="0"/>
        <w:rPr/>
      </w:pPr>
      <w:r>
        <w:rPr/>
        <w:t>Stranded costs from sale of excess interstate capacity will be split 50/50 between Core and Noncore(non-core’s share capped at $2 million  in 2000, and at $5 million in 2001.</w:t>
      </w:r>
    </w:p>
    <w:p>
      <w:pPr>
        <w:pStyle w:val="Bullet"/>
        <w:numPr>
          <w:ilvl w:val="0"/>
          <w:numId w:val="1"/>
        </w:numPr>
        <w:ind w:hanging="0" w:start="0"/>
        <w:rPr/>
      </w:pPr>
      <w:r>
        <w:rPr/>
        <w:t>After 2001, Core will not pay traditional ITCS, and Noncore will not pay any share of interstate capacity costs reserved for core needs.</w:t>
      </w:r>
      <w:r>
        <w:br w:type="page"/>
      </w:r>
    </w:p>
    <w:p>
      <w:pPr>
        <w:pStyle w:val="Bullet"/>
        <w:numPr>
          <w:ilvl w:val="0"/>
          <w:numId w:val="0"/>
        </w:numPr>
        <w:ind w:hanging="0" w:start="0"/>
        <w:jc w:val="center"/>
        <w:outlineLvl w:val="0"/>
        <w:rPr/>
      </w:pPr>
      <w:r>
        <w:rPr/>
        <w:t>Comprehensive Settlement – Retail Issues</w:t>
      </w:r>
    </w:p>
    <w:p>
      <w:pPr>
        <w:pStyle w:val="Bullet"/>
        <w:numPr>
          <w:ilvl w:val="0"/>
          <w:numId w:val="0"/>
        </w:numPr>
        <w:ind w:hanging="0" w:start="0"/>
        <w:rPr/>
      </w:pPr>
      <w:r>
        <w:rPr/>
      </w:r>
    </w:p>
    <w:p>
      <w:pPr>
        <w:pStyle w:val="Bullet"/>
        <w:numPr>
          <w:ilvl w:val="0"/>
          <w:numId w:val="1"/>
        </w:numPr>
        <w:ind w:hanging="0" w:start="0"/>
        <w:rPr/>
      </w:pPr>
      <w:r>
        <w:rPr/>
        <w:t>Increased billing/usage data made available to customers.</w:t>
      </w:r>
    </w:p>
    <w:p>
      <w:pPr>
        <w:pStyle w:val="Bullet"/>
        <w:numPr>
          <w:ilvl w:val="0"/>
          <w:numId w:val="1"/>
        </w:numPr>
        <w:ind w:hanging="0" w:start="0"/>
        <w:rPr/>
      </w:pPr>
      <w:r>
        <w:rPr/>
        <w:t>CTAs may have SoCalGas bill for them, or may receive a billing credit from SoCalGas ($0.78 for Residential, $1.16 for others).</w:t>
      </w:r>
    </w:p>
    <w:p>
      <w:pPr>
        <w:pStyle w:val="Bullet"/>
        <w:numPr>
          <w:ilvl w:val="0"/>
          <w:numId w:val="1"/>
        </w:numPr>
        <w:ind w:hanging="0" w:start="0"/>
        <w:rPr/>
      </w:pPr>
      <w:r>
        <w:rPr/>
        <w:t>Pilot program of 500 customer owned meters and 1,500 meter add-ons (Must meet SoCalGas defined safety standards)</w:t>
      </w:r>
    </w:p>
    <w:p>
      <w:pPr>
        <w:pStyle w:val="Bullet"/>
        <w:numPr>
          <w:ilvl w:val="0"/>
          <w:numId w:val="1"/>
        </w:numPr>
        <w:ind w:hanging="0" w:start="0"/>
        <w:rPr/>
      </w:pPr>
      <w:r>
        <w:rPr/>
        <w:t>Core Procurement treated like any CTA customer</w:t>
      </w:r>
    </w:p>
    <w:p>
      <w:pPr>
        <w:pStyle w:val="Bullet"/>
        <w:numPr>
          <w:ilvl w:val="0"/>
          <w:numId w:val="1"/>
        </w:numPr>
        <w:ind w:hanging="0" w:start="0"/>
        <w:rPr/>
      </w:pPr>
      <w:r>
        <w:rPr/>
        <w:t>Core Subscription service for Noncore is terminated.</w:t>
      </w:r>
    </w:p>
    <w:p>
      <w:pPr>
        <w:pStyle w:val="Bullet"/>
        <w:numPr>
          <w:ilvl w:val="0"/>
          <w:numId w:val="0"/>
        </w:numPr>
        <w:ind w:hanging="360" w:start="360" w:end="0"/>
        <w:rPr/>
      </w:pPr>
      <w:r>
        <w:rPr/>
      </w:r>
    </w:p>
    <w:p>
      <w:pPr>
        <w:pStyle w:val="Bullet"/>
        <w:numPr>
          <w:ilvl w:val="0"/>
          <w:numId w:val="0"/>
        </w:numPr>
        <w:spacing w:before="0" w:after="240"/>
        <w:ind w:hanging="1350" w:start="1350" w:end="0"/>
        <w:rPr/>
      </w:pPr>
      <w:r>
        <w:rPr/>
        <w:t>(Note: Edison neither supports nor opposes the retail issues in this settlement)</w:t>
      </w:r>
    </w:p>
    <w:sectPr>
      <w:headerReference w:type="default" r:id="rId3"/>
      <w:headerReference w:type="first" r:id="rId4"/>
      <w:footerReference w:type="default" r:id="rId5"/>
      <w:type w:val="nextPage"/>
      <w:pgSz w:orient="landscape" w:w="15840" w:h="12240"/>
      <w:pgMar w:left="1440" w:right="1440" w:gutter="0" w:header="720" w:top="1530" w:footer="720" w:bottom="126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8640"/>
        <w:tab w:val="center" w:pos="4320" w:leader="none"/>
        <w:tab w:val="right" w:pos="12780" w:leader="none"/>
      </w:tabs>
      <w:spacing w:before="0" w:after="240"/>
      <w:rPr/>
    </w:pPr>
    <w:r>
      <w:rPr/>
      <w:t>Summary of Comprehensive Settlement in the Gas Restructuring OII</w:t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640"/>
        <w:tab w:val="center" w:pos="4320" w:leader="none"/>
        <w:tab w:val="right" w:pos="12870" w:leader="none"/>
      </w:tabs>
      <w:spacing w:before="0" w:after="240"/>
      <w:rPr/>
    </w:pPr>
    <w:r>
      <w:rPr/>
      <w:tab/>
      <w:tab/>
      <w:t>Privileged Under Rule 51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640"/>
        <w:tab w:val="center" w:pos="4320" w:leader="none"/>
        <w:tab w:val="right" w:pos="12870" w:leader="none"/>
      </w:tabs>
      <w:spacing w:before="0" w:after="240"/>
      <w:rPr/>
    </w:pPr>
    <w:r>
      <w:rPr/>
      <w:tab/>
      <w:tab/>
      <w:t>Privileged Under Rule 51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24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CommentReference">
    <w:name w:val="Comment Reference"/>
    <w:basedOn w:val="DefaultParagraphFont"/>
    <w:qFormat/>
    <w:rPr>
      <w:sz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ullet">
    <w:name w:val="Bullet"/>
    <w:basedOn w:val="Normal"/>
    <w:qFormat/>
    <w:pPr>
      <w:numPr>
        <w:ilvl w:val="0"/>
        <w:numId w:val="1"/>
      </w:numPr>
    </w:pPr>
    <w:rPr>
      <w:sz w:val="48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CommentText">
    <w:name w:val="Comment Text"/>
    <w:basedOn w:val="Normal"/>
    <w:qFormat/>
    <w:pPr/>
    <w:rPr>
      <w:sz w:val="20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2000-05-10T18:01:00Z</dcterms:created>
  <dc:creator>Michael S. Alexander</dc:creator>
  <dc:description/>
  <dc:language>en-CA</dc:language>
  <cp:lastModifiedBy>Michael B. Day</cp:lastModifiedBy>
  <cp:lastPrinted>2000-05-10T13:30:00Z</cp:lastPrinted>
  <dcterms:modified xsi:type="dcterms:W3CDTF">2000-05-10T18:01:00Z</dcterms:modified>
  <cp:revision>2</cp:revision>
  <dc:subject/>
  <dc:title/>
</cp:coreProperties>
</file>