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COMPANY OVERVIEW – Asia Pacific Resources International Holdings Ltd.</w:t>
      </w:r>
    </w:p>
    <w:p>
      <w:pPr>
        <w:pStyle w:val="Heading"/>
        <w:rPr/>
      </w:pPr>
      <w:r>
        <w:rPr/>
      </w:r>
    </w:p>
    <w:p>
      <w:pPr>
        <w:pStyle w:val="Heading"/>
        <w:jc w:val="start"/>
        <w:rPr>
          <w:sz w:val="22"/>
          <w:u w:val="none"/>
        </w:rPr>
      </w:pPr>
      <w:r>
        <w:rPr>
          <w:sz w:val="22"/>
          <w:u w:val="none"/>
        </w:rPr>
        <w:t>Company Description:</w:t>
      </w:r>
    </w:p>
    <w:p>
      <w:pPr>
        <w:pStyle w:val="Heading"/>
        <w:jc w:val="start"/>
        <w:rPr>
          <w:sz w:val="22"/>
          <w:u w:val="none"/>
        </w:rPr>
      </w:pPr>
      <w:r>
        <w:rPr>
          <w:sz w:val="22"/>
          <w:u w:val="none"/>
        </w:rPr>
      </w:r>
    </w:p>
    <w:p>
      <w:pPr>
        <w:pStyle w:val="Heading"/>
        <w:jc w:val="start"/>
        <w:rPr>
          <w:b w:val="false"/>
          <w:sz w:val="22"/>
          <w:u w:val="none"/>
        </w:rPr>
      </w:pPr>
      <w:r>
        <w:rPr>
          <w:b w:val="false"/>
          <w:sz w:val="22"/>
          <w:u w:val="none"/>
        </w:rPr>
        <w:t xml:space="preserve">Asia Pacific Resources Internationals Holdings Ltd. (APRIL), with corporate headquarters in Singapore, is one of Asia’s largest pulp and paper producers.  Its manufacturing facilities include  99% ownership of P.T. Riau Andalan Pulp &amp; Paper (Riaupulp) with a capacity of 1,300,000 tpy bleached hardwood kraft pulp, 100% ownership of Riau Andalan Kertas (Riaupaper) with capacity of 350,000 tpy uncoated wood-free paper, and 100% of a stationary paper mill Suzhou located near Shanghai, China.  Riaupulp and Riaupaper are adjacent facilities located in Indonesia.  The company had also originally been part of a joint venture with UPM-Kymmene in which it owned a 49% stake in a paper mill in Changshu, China, but divested these assets during 2000.  While the company publicly stated that the decision to divest these assets was an attempt to focus its strategy on Indonesian pulp operations, it was undoubtedly also a move to shore up its flagging balance sheet position (this will be discussed later in the analysis under the “Financial Overview”).  </w:t>
      </w:r>
    </w:p>
    <w:p>
      <w:pPr>
        <w:pStyle w:val="Heading"/>
        <w:jc w:val="start"/>
        <w:rPr>
          <w:b w:val="false"/>
          <w:sz w:val="22"/>
          <w:u w:val="none"/>
        </w:rPr>
      </w:pPr>
      <w:r>
        <w:rPr>
          <w:b w:val="false"/>
          <w:sz w:val="22"/>
          <w:u w:val="none"/>
        </w:rPr>
      </w:r>
    </w:p>
    <w:p>
      <w:pPr>
        <w:pStyle w:val="Heading"/>
        <w:jc w:val="start"/>
        <w:rPr>
          <w:b w:val="false"/>
          <w:sz w:val="22"/>
          <w:u w:val="none"/>
        </w:rPr>
      </w:pPr>
      <w:r>
        <w:rPr>
          <w:b w:val="false"/>
          <w:sz w:val="22"/>
          <w:u w:val="none"/>
        </w:rPr>
        <w:t xml:space="preserve">The company commenced operations in 1995 with the inauguration of its Riaupulp mill, which at that time had a capacity of 750,000 tpy.  Riaupaper began operations in 1998 with the same capacity it has today.  As both mills were built with the industry’s most recent technology, they are among the most cost-competitive within the global industry.  Additionally, the company also maintains a competitive advantage with regard to timber costs as it uses acacia timber, among the world’s fastest growing species with a 7 – 8-year growth cycle, for its furnish base.  Although the company is a net seller of pulp, it balances its exposure to pulp markets through its higher value-added paper operations.  </w:t>
      </w:r>
    </w:p>
    <w:p>
      <w:pPr>
        <w:pStyle w:val="Heading"/>
        <w:jc w:val="start"/>
        <w:rPr>
          <w:b w:val="false"/>
          <w:sz w:val="22"/>
          <w:u w:val="none"/>
        </w:rPr>
      </w:pPr>
      <w:r>
        <w:rPr>
          <w:b w:val="false"/>
          <w:sz w:val="22"/>
          <w:u w:val="none"/>
        </w:rPr>
      </w:r>
    </w:p>
    <w:p>
      <w:pPr>
        <w:pStyle w:val="Heading"/>
        <w:jc w:val="start"/>
        <w:rPr/>
      </w:pPr>
      <w:r>
        <w:rPr>
          <w:b w:val="false"/>
          <w:sz w:val="22"/>
          <w:u w:val="none"/>
        </w:rPr>
        <w:t>Expansion of the Riaupulp mill was completed in late 2000 and the additional tonnage came on line during the 1</w:t>
      </w:r>
      <w:r>
        <w:rPr>
          <w:b w:val="false"/>
          <w:sz w:val="22"/>
          <w:u w:val="none"/>
          <w:vertAlign w:val="superscript"/>
        </w:rPr>
        <w:t>st</w:t>
      </w:r>
      <w:r>
        <w:rPr>
          <w:b w:val="false"/>
          <w:sz w:val="22"/>
          <w:u w:val="none"/>
        </w:rPr>
        <w:t xml:space="preserve"> quarter of this year --- just in time to watch the pulp markets spiral downward.  The mill is also currently adding an additional 700,000 tpy in capacity with financing being provided by a consortium of investors who will subsequently own the additional tonnage.  Although APRIL is not an investor in this project, due to a lack of available financing, they do expect to benefit from O&amp;M earnings via an agreement with the owners.  While Riaupaper had also originally been slated for a capacity increase, current market conditions and the inability to procure financing put the project on hold. </w:t>
      </w:r>
    </w:p>
    <w:p>
      <w:pPr>
        <w:pStyle w:val="Heading"/>
        <w:jc w:val="start"/>
        <w:rPr>
          <w:b w:val="false"/>
          <w:sz w:val="22"/>
          <w:u w:val="none"/>
        </w:rPr>
      </w:pPr>
      <w:r>
        <w:rPr>
          <w:b w:val="false"/>
          <w:sz w:val="22"/>
          <w:u w:val="none"/>
        </w:rPr>
      </w:r>
    </w:p>
    <w:p>
      <w:pPr>
        <w:pStyle w:val="Heading"/>
        <w:jc w:val="start"/>
        <w:rPr>
          <w:sz w:val="22"/>
          <w:u w:val="none"/>
        </w:rPr>
      </w:pPr>
      <w:r>
        <w:rPr>
          <w:b w:val="false"/>
          <w:sz w:val="22"/>
          <w:u w:val="none"/>
        </w:rPr>
        <w:t xml:space="preserve">The company sells approximately 87% of its pulp and 46% of its paper within the Asian region, which makes it vulnerable in the event of a regional slowdown.  Other significant regions include  Europe (with 13% of pulp and roughly 35% of paper revenues) and the Middle East (20% of paper).  </w:t>
      </w:r>
    </w:p>
    <w:p>
      <w:pPr>
        <w:pStyle w:val="Heading"/>
        <w:jc w:val="start"/>
        <w:rPr>
          <w:sz w:val="22"/>
          <w:u w:val="none"/>
        </w:rPr>
      </w:pPr>
      <w:r>
        <w:rPr>
          <w:sz w:val="22"/>
          <w:u w:val="none"/>
        </w:rPr>
      </w:r>
    </w:p>
    <w:p>
      <w:pPr>
        <w:pStyle w:val="Heading"/>
        <w:jc w:val="start"/>
        <w:rPr>
          <w:sz w:val="22"/>
          <w:u w:val="none"/>
        </w:rPr>
      </w:pPr>
      <w:r>
        <w:rPr>
          <w:sz w:val="22"/>
          <w:u w:val="none"/>
        </w:rPr>
        <w:t xml:space="preserve">Recent News:    </w:t>
      </w:r>
    </w:p>
    <w:p>
      <w:pPr>
        <w:pStyle w:val="Heading"/>
        <w:jc w:val="start"/>
        <w:rPr>
          <w:sz w:val="22"/>
          <w:u w:val="none"/>
        </w:rPr>
      </w:pPr>
      <w:r>
        <w:rPr>
          <w:sz w:val="22"/>
          <w:u w:val="none"/>
        </w:rPr>
      </w:r>
    </w:p>
    <w:p>
      <w:pPr>
        <w:pStyle w:val="Heading"/>
        <w:numPr>
          <w:ilvl w:val="0"/>
          <w:numId w:val="2"/>
        </w:numPr>
        <w:jc w:val="start"/>
        <w:rPr>
          <w:b w:val="false"/>
          <w:sz w:val="22"/>
          <w:u w:val="none"/>
        </w:rPr>
      </w:pPr>
      <w:r>
        <w:rPr>
          <w:b w:val="false"/>
          <w:sz w:val="22"/>
          <w:u w:val="none"/>
        </w:rPr>
        <w:t>Trading of APRIL’s NYSE shares were suspended on September 26</w:t>
      </w:r>
      <w:r>
        <w:rPr>
          <w:b w:val="false"/>
          <w:sz w:val="22"/>
          <w:u w:val="none"/>
          <w:vertAlign w:val="superscript"/>
        </w:rPr>
        <w:t>th</w:t>
      </w:r>
      <w:r>
        <w:rPr>
          <w:b w:val="false"/>
          <w:sz w:val="22"/>
          <w:u w:val="none"/>
        </w:rPr>
        <w:t>, 2001 as a result of falling below the NYSE’s minimum US$1/share price.  Reasons cited by investors for the drop in share price were continuing political/economic difficulties in Indonesia and the ongoing slump in pulp markets.</w:t>
      </w:r>
    </w:p>
    <w:p>
      <w:pPr>
        <w:pStyle w:val="Heading"/>
        <w:numPr>
          <w:ilvl w:val="0"/>
          <w:numId w:val="2"/>
        </w:numPr>
        <w:jc w:val="start"/>
        <w:rPr>
          <w:b w:val="false"/>
          <w:sz w:val="22"/>
          <w:u w:val="none"/>
        </w:rPr>
      </w:pPr>
      <w:r>
        <w:rPr>
          <w:b w:val="false"/>
          <w:sz w:val="22"/>
          <w:u w:val="none"/>
        </w:rPr>
        <w:t>APRIL to list shares on the NASD Over the Counter Bulletin Board as of September 27</w:t>
      </w:r>
      <w:r>
        <w:rPr>
          <w:b w:val="false"/>
          <w:sz w:val="22"/>
          <w:u w:val="none"/>
          <w:vertAlign w:val="superscript"/>
        </w:rPr>
        <w:t>th</w:t>
      </w:r>
      <w:r>
        <w:rPr>
          <w:b w:val="false"/>
          <w:sz w:val="22"/>
          <w:u w:val="none"/>
        </w:rPr>
        <w:t>, 2001.  This listing will replace the company’s prior listing on the NYSE.</w:t>
      </w:r>
      <w:r>
        <w:br w:type="page"/>
      </w:r>
    </w:p>
    <w:p>
      <w:pPr>
        <w:pStyle w:val="Heading"/>
        <w:jc w:val="start"/>
        <w:rPr>
          <w:b w:val="false"/>
          <w:sz w:val="22"/>
          <w:u w:val="none"/>
        </w:rPr>
      </w:pPr>
      <w:r>
        <w:rPr>
          <w:b w:val="false"/>
          <w:sz w:val="22"/>
          <w:u w:val="none"/>
        </w:rPr>
      </w:r>
    </w:p>
    <w:p>
      <w:pPr>
        <w:pStyle w:val="Normal"/>
        <w:rPr>
          <w:sz w:val="24"/>
        </w:rPr>
      </w:pPr>
      <w:r>
        <w:rPr>
          <w:sz w:val="24"/>
        </w:rPr>
        <w:t>Financial Overview:</w:t>
      </w:r>
    </w:p>
    <w:p>
      <w:pPr>
        <w:pStyle w:val="Normal"/>
        <w:rPr>
          <w:b/>
          <w:sz w:val="22"/>
        </w:rPr>
      </w:pPr>
      <w:r>
        <w:rPr>
          <w:b/>
          <w:sz w:val="22"/>
        </w:rPr>
      </w:r>
    </w:p>
    <w:p>
      <w:pPr>
        <w:pStyle w:val="Heading1"/>
        <w:ind w:hanging="0" w:start="0"/>
        <w:rPr/>
      </w:pPr>
      <w:r>
        <w:rPr/>
        <w:t xml:space="preserve">Financial Data </w:t>
      </w:r>
    </w:p>
    <w:p>
      <w:pPr>
        <w:pStyle w:val="Normal"/>
        <w:jc w:val="center"/>
        <w:rPr/>
      </w:pPr>
      <w:r>
        <w:rPr/>
        <w:t>(all numbers in millions of US$ unless otherwise  specified)</w:t>
      </w:r>
    </w:p>
    <w:p>
      <w:pPr>
        <w:pStyle w:val="Header"/>
        <w:tabs>
          <w:tab w:val="clear" w:pos="4320"/>
          <w:tab w:val="clear" w:pos="8640"/>
        </w:tabs>
        <w:jc w:val="center"/>
        <w:rPr/>
      </w:pPr>
      <w:r>
        <w:rPr/>
        <w:t>(note that 2Q01 data not available and only limited disclosure made for 1Q01)</w:t>
      </w:r>
    </w:p>
    <w:p>
      <w:pPr>
        <w:pStyle w:val="Normal"/>
        <w:rPr/>
      </w:pPr>
      <w:r>
        <w:rPr/>
      </w:r>
    </w:p>
    <w:tbl>
      <w:tblPr>
        <w:tblW w:w="5632" w:type="dxa"/>
        <w:jc w:val="start"/>
        <w:tblInd w:w="0" w:type="dxa"/>
        <w:tblLayout w:type="fixed"/>
        <w:tblCellMar>
          <w:top w:w="0" w:type="dxa"/>
          <w:start w:w="30" w:type="dxa"/>
          <w:bottom w:w="0" w:type="dxa"/>
          <w:end w:w="30" w:type="dxa"/>
        </w:tblCellMar>
      </w:tblPr>
      <w:tblGrid>
        <w:gridCol w:w="2560"/>
        <w:gridCol w:w="1024"/>
        <w:gridCol w:w="1024"/>
        <w:gridCol w:w="1024"/>
      </w:tblGrid>
      <w:tr>
        <w:trPr>
          <w:trHeight w:val="256" w:hRule="atLeast"/>
        </w:trPr>
        <w:tc>
          <w:tcPr>
            <w:tcW w:w="2560" w:type="dxa"/>
            <w:tcBorders/>
          </w:tcPr>
          <w:p>
            <w:pPr>
              <w:pStyle w:val="Normal"/>
              <w:snapToGrid w:val="false"/>
              <w:rPr>
                <w:rFonts w:ascii="Arial" w:hAnsi="Arial" w:cs="Arial"/>
                <w:color w:val="000000"/>
                <w:sz w:val="22"/>
                <w:lang w:eastAsia="en-US"/>
              </w:rPr>
            </w:pPr>
            <w:r>
              <w:rPr>
                <w:rFonts w:cs="Arial" w:ascii="Arial" w:hAnsi="Arial"/>
                <w:color w:val="000000"/>
                <w:sz w:val="22"/>
                <w:lang w:eastAsia="en-US"/>
              </w:rPr>
            </w:r>
          </w:p>
        </w:tc>
        <w:tc>
          <w:tcPr>
            <w:tcW w:w="102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1Q2001</w:t>
            </w:r>
          </w:p>
        </w:tc>
        <w:tc>
          <w:tcPr>
            <w:tcW w:w="102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FY2000</w:t>
            </w:r>
          </w:p>
        </w:tc>
        <w:tc>
          <w:tcPr>
            <w:tcW w:w="102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FY1999</w:t>
            </w:r>
          </w:p>
        </w:tc>
      </w:tr>
      <w:tr>
        <w:trPr>
          <w:trHeight w:val="256" w:hRule="atLeast"/>
        </w:trPr>
        <w:tc>
          <w:tcPr>
            <w:tcW w:w="2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Sales</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161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652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414 </w:t>
            </w:r>
          </w:p>
        </w:tc>
      </w:tr>
      <w:tr>
        <w:trPr>
          <w:trHeight w:val="256" w:hRule="atLeast"/>
        </w:trPr>
        <w:tc>
          <w:tcPr>
            <w:tcW w:w="2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Gross Profit</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41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313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161 </w:t>
            </w:r>
          </w:p>
        </w:tc>
      </w:tr>
      <w:tr>
        <w:trPr>
          <w:trHeight w:val="256" w:hRule="atLeast"/>
        </w:trPr>
        <w:tc>
          <w:tcPr>
            <w:tcW w:w="2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Operating Income</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217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85 </w:t>
            </w:r>
          </w:p>
        </w:tc>
      </w:tr>
      <w:tr>
        <w:trPr>
          <w:trHeight w:val="256" w:hRule="atLeast"/>
        </w:trPr>
        <w:tc>
          <w:tcPr>
            <w:tcW w:w="2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Net Income</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(26)</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50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(23)</w:t>
            </w:r>
          </w:p>
        </w:tc>
      </w:tr>
      <w:tr>
        <w:trPr>
          <w:trHeight w:val="256" w:hRule="atLeast"/>
        </w:trPr>
        <w:tc>
          <w:tcPr>
            <w:tcW w:w="2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Operating Cash Flow</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137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109 </w:t>
            </w:r>
          </w:p>
        </w:tc>
      </w:tr>
      <w:tr>
        <w:trPr>
          <w:trHeight w:val="256" w:hRule="atLeast"/>
        </w:trPr>
        <w:tc>
          <w:tcPr>
            <w:tcW w:w="2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Total Assets</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3,077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2,845 </w:t>
            </w:r>
          </w:p>
        </w:tc>
      </w:tr>
      <w:tr>
        <w:trPr>
          <w:trHeight w:val="256" w:hRule="atLeast"/>
        </w:trPr>
        <w:tc>
          <w:tcPr>
            <w:tcW w:w="2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Fixed Assets</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2,723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2,394 </w:t>
            </w:r>
          </w:p>
        </w:tc>
      </w:tr>
      <w:tr>
        <w:trPr>
          <w:trHeight w:val="256" w:hRule="atLeast"/>
        </w:trPr>
        <w:tc>
          <w:tcPr>
            <w:tcW w:w="2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Debt/Book Equity</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1.40 </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0.84 </w:t>
            </w:r>
          </w:p>
        </w:tc>
      </w:tr>
      <w:tr>
        <w:trPr>
          <w:trHeight w:val="256" w:hRule="atLeast"/>
        </w:trPr>
        <w:tc>
          <w:tcPr>
            <w:tcW w:w="2560" w:type="dxa"/>
            <w:tcBorders/>
          </w:tcPr>
          <w:p>
            <w:pPr>
              <w:pStyle w:val="Normal"/>
              <w:rPr>
                <w:rFonts w:ascii="Arial" w:hAnsi="Arial" w:cs="Arial"/>
                <w:color w:val="000000"/>
                <w:lang w:eastAsia="en-US"/>
              </w:rPr>
            </w:pPr>
            <w:r>
              <w:rPr>
                <w:rFonts w:cs="Arial" w:ascii="Arial" w:hAnsi="Arial"/>
                <w:color w:val="000000"/>
                <w:lang w:eastAsia="en-US"/>
              </w:rPr>
              <w:t>N/A - not available</w:t>
            </w:r>
          </w:p>
        </w:tc>
        <w:tc>
          <w:tcPr>
            <w:tcW w:w="1024"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024"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024" w:type="dxa"/>
            <w:tcBorders/>
          </w:tcPr>
          <w:p>
            <w:pPr>
              <w:pStyle w:val="Normal"/>
              <w:snapToGrid w:val="false"/>
              <w:rPr>
                <w:rFonts w:ascii="Arial" w:hAnsi="Arial" w:cs="Arial"/>
                <w:color w:val="000000"/>
                <w:lang w:eastAsia="en-US"/>
              </w:rPr>
            </w:pPr>
            <w:r>
              <w:rPr>
                <w:rFonts w:cs="Arial" w:ascii="Arial" w:hAnsi="Arial"/>
                <w:color w:val="000000"/>
                <w:lang w:eastAsia="en-US"/>
              </w:rPr>
            </w:r>
          </w:p>
        </w:tc>
      </w:tr>
    </w:tbl>
    <w:p>
      <w:pPr>
        <w:pStyle w:val="Normal"/>
        <w:rPr/>
      </w:pPr>
      <w:r>
        <w:rPr/>
      </w:r>
    </w:p>
    <w:p>
      <w:pPr>
        <w:pStyle w:val="Normal"/>
        <w:rPr/>
      </w:pPr>
      <w:r>
        <w:rPr/>
      </w:r>
    </w:p>
    <w:p>
      <w:pPr>
        <w:pStyle w:val="BodyText"/>
        <w:rPr/>
      </w:pPr>
      <w:r>
        <w:rPr/>
        <w:t>Fiscal 2000 was a solid year for APRIL as pulp prices remained strong throughout much of the year and the company managed to maintain premium price levels for its paper product, PAPERONE, despite downward price pressure during the second half.  The company also divested its interests in the Changshu paper mill which had been generating operational losses.  This move enabled the company to show positive net income after two prior years of net losses.</w:t>
      </w:r>
    </w:p>
    <w:p>
      <w:pPr>
        <w:pStyle w:val="Normal"/>
        <w:rPr/>
      </w:pPr>
      <w:r>
        <w:rPr>
          <w:sz w:val="22"/>
        </w:rPr>
        <w:t>First quarter ’01 revenues of US$161 million registered a US$20 million increase versus the same period 2000 which the company attributes to significant increases in sales volumes as y-o-y prices dropped considerably.  However, 1</w:t>
      </w:r>
      <w:r>
        <w:rPr>
          <w:sz w:val="22"/>
          <w:vertAlign w:val="superscript"/>
        </w:rPr>
        <w:t>st</w:t>
      </w:r>
      <w:r>
        <w:rPr>
          <w:sz w:val="22"/>
        </w:rPr>
        <w:t xml:space="preserve"> quarter ’01 gross profit of US$41 million was US$31 million less than in the same period 2000.  As pulp prices have continued their freefall through the second and third quarters this year, the company’s financial performance has undoubtedly suffered deterioration.</w:t>
      </w:r>
    </w:p>
    <w:p>
      <w:pPr>
        <w:pStyle w:val="Normal"/>
        <w:rPr>
          <w:sz w:val="22"/>
        </w:rPr>
      </w:pPr>
      <w:r>
        <w:rPr>
          <w:sz w:val="22"/>
        </w:rPr>
      </w:r>
    </w:p>
    <w:p>
      <w:pPr>
        <w:pStyle w:val="Normal"/>
        <w:rPr/>
      </w:pPr>
      <w:r>
        <w:rPr>
          <w:sz w:val="22"/>
        </w:rPr>
        <w:t>It is also important to note that the company was in the process of renegotiating its debt with lenders during the 2</w:t>
      </w:r>
      <w:r>
        <w:rPr>
          <w:sz w:val="22"/>
          <w:vertAlign w:val="superscript"/>
        </w:rPr>
        <w:t>nd</w:t>
      </w:r>
      <w:r>
        <w:rPr>
          <w:sz w:val="22"/>
        </w:rPr>
        <w:t xml:space="preserve"> quarter 2001.  This negotiation marked the second time the company sought some sort of bailout from its creditors.  Its debt had initially been restructured during the 3rd quarter 2000 to alleviate cash flow pressure and allow the company to complete construction of its pulp mill expansion.  Under the agreement, APRIL was able to defer a major portion of accrued interest and postpone principal repayments until March 2001.  The company did not resume repayment of principal and only paid a portion of accrued interest due in March 2001.  In addition, while both domestic and foreign lenders agreed to the arrangement, only domestic banks formalized it in writing.  No further disclosure has been made regarding this issue.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 xml:space="preserv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EIM Fundamentals</w:t>
      <w:tab/>
      <w:tab/>
      <w:t>Asia Pacific Resources International Holdings Ltd. (APRIL)</w:t>
    </w:r>
  </w:p>
  <w:p>
    <w:pPr>
      <w:pStyle w:val="Header"/>
      <w:rPr/>
    </w:pPr>
    <w:r>
      <w:rPr/>
      <w:tab/>
      <w:tab/>
      <w:t>October 3,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color w:val="000000"/>
      <w:sz w:val="22"/>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2001-10-03T17:07:00Z</dcterms:created>
  <dc:creator>R and K CARTER</dc:creator>
  <dc:description/>
  <dc:language>en-CA</dc:language>
  <cp:lastModifiedBy>R and K CARTER</cp:lastModifiedBy>
  <dcterms:modified xsi:type="dcterms:W3CDTF">2001-10-03T17:07:00Z</dcterms:modified>
  <cp:revision>2</cp:revision>
  <dc:subject/>
  <dc:title>COMPANY OVERVIEW – MALAYSIAN NEWSPRINT INDUSTRIES</dc:title>
</cp:coreProperties>
</file>