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xlsx" ContentType="application/vnd.openxmlformats-officedocument.spreadsheetml.sheet"/>
  <Override PartName="/word/embeddings/oleObject2.xlsx" ContentType="application/vnd.openxmlformats-officedocument.spreadsheetml.sheet"/>
  <Override PartName="/word/embeddings/oleObject3.xlsx" ContentType="application/vnd.openxmlformats-officedocument.spreadsheetml.sheet"/>
  <Override PartName="/word/embeddings/oleObject4.xlsx" ContentType="application/vnd.openxmlformats-officedocument.spreadsheetml.sheet"/>
  <Override PartName="/word/embeddings/oleObject5.xlsx" ContentType="application/vnd.openxmlformats-officedocument.spreadsheetml.sheet"/>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sz w:val="40"/>
        </w:rPr>
      </w:pPr>
      <w:r>
        <w:rPr>
          <w:b/>
          <w:sz w:val="40"/>
        </w:rPr>
        <w:t>APPENDIX A</w:t>
      </w:r>
      <w:r>
        <w:br w:type="page"/>
      </w:r>
    </w:p>
    <w:p>
      <w:pPr>
        <w:pStyle w:val="Normal"/>
        <w:jc w:val="center"/>
        <w:rPr>
          <w:b/>
          <w:sz w:val="40"/>
        </w:rPr>
      </w:pPr>
      <w:r>
        <w:rPr>
          <w:b/>
          <w:sz w:val="40"/>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sz w:val="40"/>
        </w:rPr>
      </w:pPr>
      <w:r>
        <w:rPr>
          <w:b/>
          <w:sz w:val="40"/>
        </w:rPr>
      </w:r>
    </w:p>
    <w:p>
      <w:pPr>
        <w:pStyle w:val="Normal"/>
        <w:jc w:val="center"/>
        <w:rPr>
          <w:b/>
          <w:sz w:val="40"/>
        </w:rPr>
      </w:pPr>
      <w:r>
        <w:rPr>
          <w:b/>
          <w:sz w:val="40"/>
        </w:rPr>
        <w:t>APPENDIX B</w:t>
      </w:r>
      <w:r>
        <w:br w:type="page"/>
      </w:r>
    </w:p>
    <w:p>
      <w:pPr>
        <w:pStyle w:val="Normal"/>
        <w:numPr>
          <w:ilvl w:val="0"/>
          <w:numId w:val="0"/>
        </w:numPr>
        <w:jc w:val="center"/>
        <w:rPr>
          <w:b/>
          <w:sz w:val="40"/>
        </w:rPr>
      </w:pPr>
      <w:r>
        <w:rPr>
          <w:b/>
          <w:sz w:val="40"/>
        </w:rPr>
        <w:object w:dxaOrig="14081" w:dyaOrig="1100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57.6pt;margin-top:86.4pt;width:560.65pt;height:448.35pt;mso-wrap-distance-left:9.05pt;mso-wrap-distance-right:9.05pt;mso-position-horizontal-relative:text;mso-position-vertical-relative:text" filled="f" o:ole="">
            <v:imagedata r:id="rId3" o:title=""/>
            <w10:wrap type="topAndBottom"/>
          </v:shape>
          <o:OLEObject Type="Embed" ProgID="Excel.Sheet.12" ShapeID="ole_rId2" DrawAspect="Content" ObjectID="_828330710" r:id="rId2"/>
        </w:object>
      </w:r>
      <w:r>
        <w:br w:type="page"/>
      </w:r>
    </w:p>
    <w:p>
      <w:pPr>
        <w:pStyle w:val="Normal"/>
        <w:numPr>
          <w:ilvl w:val="0"/>
          <w:numId w:val="0"/>
        </w:numPr>
        <w:jc w:val="center"/>
        <w:rPr>
          <w:b/>
          <w:sz w:val="40"/>
        </w:rPr>
      </w:pPr>
      <w:r>
        <w:rPr>
          <w:b/>
          <w:sz w:val="40"/>
        </w:rPr>
        <w:object w:dxaOrig="14081" w:dyaOrig="9217">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position:absolute;margin-left:-43.2pt;margin-top:72pt;width:553.45pt;height:378.45pt;mso-wrap-distance-left:9.05pt;mso-wrap-distance-right:9.05pt;mso-position-horizontal-relative:text;mso-position-vertical-relative:text" filled="f" o:ole="">
            <v:imagedata r:id="rId5" o:title=""/>
            <w10:wrap type="topAndBottom"/>
          </v:shape>
          <o:OLEObject Type="Embed" ProgID="Excel.Sheet.12" ShapeID="ole_rId4" DrawAspect="Content" ObjectID="_635601813" r:id="rId4"/>
        </w:object>
      </w:r>
      <w:r>
        <w:br w:type="page"/>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sz w:val="40"/>
        </w:rPr>
      </w:pPr>
      <w:r>
        <w:rPr>
          <w:b/>
          <w:sz w:val="40"/>
        </w:rPr>
        <w:t>APPENDIX C</w:t>
      </w:r>
      <w:r>
        <w:br w:type="page"/>
      </w:r>
    </w:p>
    <w:p>
      <w:pPr>
        <w:pStyle w:val="Normal"/>
        <w:numPr>
          <w:ilvl w:val="0"/>
          <w:numId w:val="0"/>
        </w:numPr>
        <w:jc w:val="center"/>
        <w:rPr>
          <w:sz w:val="40"/>
        </w:rPr>
      </w:pPr>
      <w:r>
        <w:rPr>
          <w:sz w:val="40"/>
        </w:rPr>
        <w:object w:dxaOrig="14081" w:dyaOrig="9217">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36pt;margin-top:79.2pt;width:546.25pt;height:373.5pt;mso-wrap-distance-left:9.05pt;mso-wrap-distance-right:9.05pt;mso-position-horizontal-relative:text;mso-position-vertical-relative:text" filled="f" o:ole="">
            <v:imagedata r:id="rId7" o:title=""/>
            <w10:wrap type="topAndBottom"/>
          </v:shape>
          <o:OLEObject Type="Embed" ProgID="Excel.Sheet.12" ShapeID="ole_rId6" DrawAspect="Content" ObjectID="_345101290" r:id="rId6"/>
        </w:object>
      </w:r>
      <w:r>
        <w:br w:type="page"/>
      </w:r>
    </w:p>
    <w:p>
      <w:pPr>
        <w:pStyle w:val="Normal"/>
        <w:numPr>
          <w:ilvl w:val="0"/>
          <w:numId w:val="0"/>
        </w:numPr>
        <w:jc w:val="center"/>
        <w:rPr>
          <w:sz w:val="40"/>
        </w:rPr>
      </w:pPr>
      <w:r>
        <w:rPr>
          <w:sz w:val="40"/>
        </w:rPr>
        <w:object w:dxaOrig="14081" w:dyaOrig="9217">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50.4pt;margin-top:72pt;width:553.45pt;height:378.45pt;mso-wrap-distance-left:9.05pt;mso-wrap-distance-right:9.05pt;mso-position-horizontal-relative:text;mso-position-vertical-relative:text" filled="f" o:ole="">
            <v:imagedata r:id="rId9" o:title=""/>
            <w10:wrap type="topAndBottom"/>
          </v:shape>
          <o:OLEObject Type="Embed" ProgID="Excel.Sheet.12" ShapeID="ole_rId8" DrawAspect="Content" ObjectID="_101828032" r:id="rId8"/>
        </w:object>
      </w:r>
      <w:r>
        <w:br w:type="page"/>
      </w:r>
    </w:p>
    <w:p>
      <w:pPr>
        <w:pStyle w:val="Normal"/>
        <w:numPr>
          <w:ilvl w:val="0"/>
          <w:numId w:val="0"/>
        </w:numPr>
        <w:jc w:val="center"/>
        <w:rPr>
          <w:sz w:val="40"/>
        </w:rPr>
      </w:pPr>
      <w:r>
        <w:rPr>
          <w:sz w:val="40"/>
        </w:rPr>
        <w:object w:dxaOrig="14081" w:dyaOrig="9217">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36pt;margin-top:72pt;width:546.25pt;height:373.5pt;mso-wrap-distance-left:9.05pt;mso-wrap-distance-right:9.05pt;mso-position-horizontal-relative:text;mso-position-vertical-relative:text" filled="f" o:ole="">
            <v:imagedata r:id="rId11" o:title=""/>
            <w10:wrap type="topAndBottom"/>
          </v:shape>
          <o:OLEObject Type="Embed" ProgID="Excel.Sheet.12" ShapeID="ole_rId10" DrawAspect="Content" ObjectID="_988109244" r:id="rId10"/>
        </w:object>
      </w:r>
      <w:r>
        <w:br w:type="page"/>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sz w:val="40"/>
        </w:rPr>
      </w:pPr>
      <w:r>
        <w:rPr>
          <w:sz w:val="40"/>
        </w:rPr>
      </w:r>
    </w:p>
    <w:p>
      <w:pPr>
        <w:pStyle w:val="Normal"/>
        <w:jc w:val="center"/>
        <w:rPr>
          <w:b/>
          <w:sz w:val="40"/>
        </w:rPr>
      </w:pPr>
      <w:r>
        <w:rPr>
          <w:b/>
          <w:sz w:val="40"/>
        </w:rPr>
        <w:t>APPENDIX D</w:t>
      </w:r>
      <w:r>
        <w:br w:type="page"/>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r>
    </w:p>
    <w:p>
      <w:pPr>
        <w:pStyle w:val="Normal"/>
        <w:jc w:val="center"/>
        <w:rPr>
          <w:b/>
          <w:sz w:val="40"/>
        </w:rPr>
      </w:pPr>
      <w:r>
        <w:rPr>
          <w:b/>
          <w:sz w:val="40"/>
        </w:rPr>
        <w:t>APPENDIX E</w:t>
      </w:r>
      <w:r>
        <w:br w:type="page"/>
      </w:r>
    </w:p>
    <w:p>
      <w:pPr>
        <w:pStyle w:val="Normal"/>
        <w:jc w:val="end"/>
        <w:rPr>
          <w:b/>
        </w:rPr>
      </w:pPr>
      <w:r>
        <w:rPr>
          <w:b/>
        </w:rPr>
        <w:t>APPENDIX E</w:t>
      </w:r>
    </w:p>
    <w:p>
      <w:pPr>
        <w:pStyle w:val="Normal"/>
        <w:jc w:val="center"/>
        <w:rPr/>
      </w:pPr>
      <w:r>
        <w:rPr/>
      </w:r>
    </w:p>
    <w:p>
      <w:pPr>
        <w:pStyle w:val="Normal"/>
        <w:jc w:val="center"/>
        <w:rPr/>
      </w:pPr>
      <w:r>
        <w:rPr/>
        <w:t>UNITED STATES OF AMERICA</w:t>
      </w:r>
    </w:p>
    <w:p>
      <w:pPr>
        <w:pStyle w:val="Normal"/>
        <w:jc w:val="center"/>
        <w:rPr/>
      </w:pPr>
      <w:r>
        <w:rPr/>
        <w:t>FEDERAL ENERGY REGULATORY COMMISSION</w:t>
      </w:r>
    </w:p>
    <w:p>
      <w:pPr>
        <w:pStyle w:val="Normal"/>
        <w:rPr>
          <w:sz w:val="26"/>
        </w:rPr>
      </w:pPr>
      <w:r>
        <w:rPr>
          <w:sz w:val="26"/>
        </w:rPr>
      </w:r>
    </w:p>
    <w:p>
      <w:pPr>
        <w:pStyle w:val="Normal"/>
        <w:rPr>
          <w:sz w:val="26"/>
        </w:rPr>
      </w:pPr>
      <w:r>
        <w:rPr>
          <w:sz w:val="26"/>
        </w:rPr>
      </w:r>
    </w:p>
    <w:p>
      <w:pPr>
        <w:pStyle w:val="Normal"/>
        <w:rPr>
          <w:sz w:val="26"/>
        </w:rPr>
      </w:pPr>
      <w:r>
        <w:rPr>
          <w:sz w:val="26"/>
        </w:rPr>
        <w:t>San Diego Gas &amp; Electric Company,</w:t>
      </w:r>
    </w:p>
    <w:p>
      <w:pPr>
        <w:pStyle w:val="Normal"/>
        <w:rPr>
          <w:sz w:val="26"/>
        </w:rPr>
      </w:pPr>
      <w:r>
        <w:rPr>
          <w:sz w:val="26"/>
        </w:rPr>
      </w:r>
    </w:p>
    <w:p>
      <w:pPr>
        <w:pStyle w:val="Normal"/>
        <w:rPr>
          <w:sz w:val="26"/>
        </w:rPr>
      </w:pPr>
      <w:r>
        <w:rPr>
          <w:sz w:val="26"/>
        </w:rPr>
        <w:tab/>
        <w:t>Complainant,</w:t>
      </w:r>
    </w:p>
    <w:p>
      <w:pPr>
        <w:pStyle w:val="Normal"/>
        <w:rPr>
          <w:sz w:val="26"/>
        </w:rPr>
      </w:pPr>
      <w:r>
        <w:rPr>
          <w:sz w:val="26"/>
        </w:rPr>
      </w:r>
    </w:p>
    <w:p>
      <w:pPr>
        <w:pStyle w:val="Normal"/>
        <w:rPr>
          <w:sz w:val="26"/>
        </w:rPr>
      </w:pPr>
      <w:r>
        <w:rPr>
          <w:sz w:val="26"/>
        </w:rPr>
        <w:tab/>
        <w:t>v.</w:t>
        <w:tab/>
        <w:tab/>
        <w:tab/>
        <w:tab/>
        <w:tab/>
        <w:tab/>
        <w:tab/>
        <w:tab/>
        <w:t>Docket No. EL00-__-000</w:t>
      </w:r>
    </w:p>
    <w:p>
      <w:pPr>
        <w:pStyle w:val="Normal"/>
        <w:rPr>
          <w:sz w:val="26"/>
        </w:rPr>
      </w:pPr>
      <w:r>
        <w:rPr>
          <w:sz w:val="26"/>
        </w:rPr>
      </w:r>
    </w:p>
    <w:p>
      <w:pPr>
        <w:pStyle w:val="Normal"/>
        <w:rPr>
          <w:sz w:val="26"/>
        </w:rPr>
      </w:pPr>
      <w:r>
        <w:rPr>
          <w:sz w:val="26"/>
        </w:rPr>
        <w:t>Sellers of Energy and Ancillary Services</w:t>
      </w:r>
    </w:p>
    <w:p>
      <w:pPr>
        <w:pStyle w:val="Normal"/>
        <w:rPr>
          <w:sz w:val="26"/>
        </w:rPr>
      </w:pPr>
      <w:r>
        <w:rPr>
          <w:sz w:val="26"/>
        </w:rPr>
        <w:t xml:space="preserve">  </w:t>
      </w:r>
      <w:r>
        <w:rPr>
          <w:sz w:val="26"/>
        </w:rPr>
        <w:t>into the California Power Exchange and</w:t>
      </w:r>
    </w:p>
    <w:p>
      <w:pPr>
        <w:pStyle w:val="Normal"/>
        <w:rPr>
          <w:sz w:val="26"/>
        </w:rPr>
      </w:pPr>
      <w:r>
        <w:rPr>
          <w:sz w:val="26"/>
        </w:rPr>
        <w:t xml:space="preserve">  </w:t>
      </w:r>
      <w:r>
        <w:rPr>
          <w:sz w:val="26"/>
        </w:rPr>
        <w:t>California Independent System Operator Markets,</w:t>
      </w:r>
    </w:p>
    <w:p>
      <w:pPr>
        <w:pStyle w:val="Normal"/>
        <w:rPr>
          <w:sz w:val="26"/>
        </w:rPr>
      </w:pPr>
      <w:r>
        <w:rPr>
          <w:sz w:val="26"/>
        </w:rPr>
      </w:r>
    </w:p>
    <w:p>
      <w:pPr>
        <w:pStyle w:val="Normal"/>
        <w:rPr>
          <w:sz w:val="26"/>
        </w:rPr>
      </w:pPr>
      <w:r>
        <w:rPr>
          <w:sz w:val="26"/>
        </w:rPr>
        <w:tab/>
        <w:t>Respondents.</w:t>
      </w:r>
    </w:p>
    <w:p>
      <w:pPr>
        <w:pStyle w:val="Normal"/>
        <w:rPr>
          <w:sz w:val="26"/>
        </w:rPr>
      </w:pPr>
      <w:r>
        <w:rPr>
          <w:sz w:val="26"/>
        </w:rPr>
      </w:r>
    </w:p>
    <w:p>
      <w:pPr>
        <w:pStyle w:val="Normal"/>
        <w:rPr>
          <w:sz w:val="26"/>
        </w:rPr>
      </w:pPr>
      <w:r>
        <w:rPr>
          <w:sz w:val="26"/>
        </w:rPr>
      </w:r>
    </w:p>
    <w:p>
      <w:pPr>
        <w:pStyle w:val="Normal"/>
        <w:jc w:val="center"/>
        <w:rPr/>
      </w:pPr>
      <w:r>
        <w:rPr/>
        <w:t>NOTICE OF COMPLAINT</w:t>
      </w:r>
    </w:p>
    <w:p>
      <w:pPr>
        <w:pStyle w:val="Normal"/>
        <w:rPr>
          <w:sz w:val="26"/>
        </w:rPr>
      </w:pPr>
      <w:r>
        <w:rPr>
          <w:sz w:val="26"/>
        </w:rPr>
      </w:r>
    </w:p>
    <w:p>
      <w:pPr>
        <w:pStyle w:val="Normal"/>
        <w:jc w:val="center"/>
        <w:rPr>
          <w:sz w:val="26"/>
        </w:rPr>
      </w:pPr>
      <w:r>
        <w:rPr>
          <w:sz w:val="26"/>
        </w:rPr>
        <w:t>(August __, 2000)</w:t>
      </w:r>
    </w:p>
    <w:p>
      <w:pPr>
        <w:pStyle w:val="Normal"/>
        <w:rPr>
          <w:sz w:val="26"/>
        </w:rPr>
      </w:pPr>
      <w:r>
        <w:rPr>
          <w:sz w:val="26"/>
        </w:rPr>
      </w:r>
    </w:p>
    <w:p>
      <w:pPr>
        <w:pStyle w:val="BodyTextFirstIndent"/>
        <w:rPr/>
      </w:pPr>
      <w:r>
        <w:rPr/>
        <w:t xml:space="preserve">Take notice that on August 2, 2000, San Diego Gas &amp; Electric Company ("SDG&amp;E") submitted a complaint alleging that the markets for energy and ancillary services operated by the California Power Exchange Corporation (the "PX") and the California Independent System Operator Corporation (the "ISO") are not workably competitive and that the prices in those markets are unjust and unreasonable.  SDG&amp;E alleges that prices in California bulk power markets far exceed prior levels and that, even allowing for higher fuel costs, those prices do not reflect legitimate forces of supply and demand.  SDG&amp;E states that market institutions in California require fundamental reform.  In the interim, however, SDG&amp;E requests that the Commission limit bids to sell energy or ancillary services into the markets operated by the PX and ISO to $250 per MWh.  SDG&amp;E further requests, in light of the severe impact of current prices on consumers in San Diego, that the Commission act as quickly as possible.  </w:t>
      </w:r>
    </w:p>
    <w:p>
      <w:pPr>
        <w:pStyle w:val="BodyTextFirstIndent"/>
        <w:rPr/>
      </w:pPr>
      <w:r>
        <w:rPr/>
        <w:t>Copies of the filing were served upon the ISO, the PX, and other interested parties, and are available on SDG&amp;E's website at http://www.sdge.com/aboutus/newsroom/index.html.</w:t>
      </w:r>
    </w:p>
    <w:p>
      <w:pPr>
        <w:pStyle w:val="BodyTextFirstIndent"/>
        <w:rPr/>
      </w:pPr>
      <w:r>
        <w:rPr/>
        <w:t>Any person desiring to be heard or to protest this filing should file a motion to intervene or protest with the Federal Energy Regulatory Commission, 888 First Street, N.E., Washington, D.C. 20426, in accordance with Rules 211 and  214 of the Commission's Rules of Practice and Procedure (18 CFR 385.211 and 385.214).  All such motions or protests must be filed on or before August __, 2000.  Protests will be considered by the Commission in determining the appropriate action to be taken, but will not serve to make protestants parties to the proceeding.  Any person wishing to become a party must file a motion to intervene.  Copies of this filing are on file with the Commission and are available for public inspection in the Public Reference Room.  This filing may also be viewed on the Internet at http://www.ferc.fed.us/online/rims.htm (call 202-208-2222 for assistance).  Answers to the complaint shall also be due on or before August ___, 2000.</w:t>
      </w:r>
    </w:p>
    <w:p>
      <w:pPr>
        <w:pStyle w:val="Normal"/>
        <w:rPr>
          <w:sz w:val="26"/>
        </w:rPr>
      </w:pPr>
      <w:r>
        <w:rPr>
          <w:sz w:val="26"/>
        </w:rPr>
      </w:r>
    </w:p>
    <w:p>
      <w:pPr>
        <w:pStyle w:val="Normal"/>
        <w:rPr>
          <w:sz w:val="26"/>
        </w:rPr>
      </w:pPr>
      <w:r>
        <w:rPr>
          <w:sz w:val="26"/>
        </w:rPr>
      </w:r>
    </w:p>
    <w:p>
      <w:pPr>
        <w:pStyle w:val="Normal"/>
        <w:rPr>
          <w:sz w:val="26"/>
        </w:rPr>
      </w:pPr>
      <w:r>
        <w:rPr>
          <w:sz w:val="26"/>
        </w:rPr>
      </w:r>
    </w:p>
    <w:p>
      <w:pPr>
        <w:pStyle w:val="Normal"/>
        <w:rPr>
          <w:sz w:val="26"/>
        </w:rPr>
      </w:pPr>
      <w:r>
        <w:rPr>
          <w:sz w:val="26"/>
        </w:rPr>
      </w:r>
    </w:p>
    <w:p>
      <w:pPr>
        <w:pStyle w:val="Signature"/>
        <w:rPr/>
      </w:pPr>
      <w:r>
        <w:rPr/>
        <w:t>David P. Boergers,</w:t>
      </w:r>
    </w:p>
    <w:p>
      <w:pPr>
        <w:pStyle w:val="Normal"/>
        <w:rPr>
          <w:sz w:val="26"/>
        </w:rPr>
      </w:pPr>
      <w:r>
        <w:rPr>
          <w:sz w:val="26"/>
        </w:rPr>
        <w:tab/>
        <w:tab/>
        <w:tab/>
        <w:tab/>
        <w:tab/>
        <w:tab/>
        <w:t xml:space="preserve">      Secretary</w:t>
      </w:r>
      <w:r>
        <w:br w:type="page"/>
      </w:r>
    </w:p>
    <w:p>
      <w:pPr>
        <w:pStyle w:val="Normal"/>
        <w:tabs>
          <w:tab w:val="clear" w:pos="720"/>
          <w:tab w:val="left" w:pos="-720" w:leader="none"/>
        </w:tabs>
        <w:suppressAutoHyphens w:val="true"/>
        <w:rPr>
          <w:b/>
          <w:sz w:val="40"/>
        </w:rPr>
      </w:pPr>
      <w:r>
        <w:rPr>
          <w:b/>
          <w:sz w:val="40"/>
        </w:rPr>
      </w:r>
      <w:bookmarkStart w:id="0" w:name="UFStartPoint"/>
      <w:bookmarkStart w:id="1" w:name="UFStartPoint"/>
    </w:p>
    <w:p>
      <w:pPr>
        <w:pStyle w:val="Style0"/>
        <w:jc w:val="center"/>
        <w:rPr>
          <w:rFonts w:ascii="Times New Roman" w:hAnsi="Times New Roman" w:cs="Times New Roman"/>
          <w:caps/>
          <w:color w:val="000000"/>
        </w:rPr>
      </w:pPr>
      <w:r>
        <w:rPr>
          <w:rFonts w:cs="Times New Roman" w:ascii="Times New Roman" w:hAnsi="Times New Roman"/>
          <w:b/>
          <w:color w:val="000000"/>
        </w:rPr>
        <w:t>CERTIFICATE OF SERVICE</w:t>
      </w:r>
    </w:p>
    <w:p>
      <w:pPr>
        <w:pStyle w:val="Style0"/>
        <w:spacing w:lineRule="auto" w:line="480"/>
        <w:rPr>
          <w:rFonts w:ascii="Times New Roman" w:hAnsi="Times New Roman" w:cs="Times New Roman"/>
          <w:caps/>
          <w:color w:val="000000"/>
        </w:rPr>
      </w:pPr>
      <w:r>
        <w:rPr>
          <w:rFonts w:cs="Times New Roman" w:ascii="Times New Roman" w:hAnsi="Times New Roman"/>
          <w:caps/>
          <w:color w:val="000000"/>
        </w:rPr>
      </w:r>
    </w:p>
    <w:p>
      <w:pPr>
        <w:pStyle w:val="BodyTextFirstIndentDouble"/>
        <w:rPr>
          <w:caps/>
        </w:rPr>
      </w:pPr>
      <w:r>
        <w:rPr/>
        <w:t>I</w:t>
      </w:r>
      <w:r>
        <w:rPr>
          <w:caps/>
        </w:rPr>
        <w:t xml:space="preserve"> </w:t>
      </w:r>
      <w:r>
        <w:rPr/>
        <w:t xml:space="preserve">hereby certify that I have, this second day of August, 2000, caused copies of the foregoing complaint to be served by overnight delivery, or electronically with hard copy by regular mail, on all parties shown on the official service list in Docket Nos. EC96-19, ER96-1663, ER98-2843, ER99-4462, and EL00-91.  </w:t>
      </w:r>
    </w:p>
    <w:p>
      <w:pPr>
        <w:pStyle w:val="Style0"/>
        <w:spacing w:lineRule="auto" w:line="480"/>
        <w:rPr>
          <w:rFonts w:ascii="Times New Roman" w:hAnsi="Times New Roman" w:cs="Times New Roman"/>
          <w:caps/>
          <w:color w:val="000000"/>
        </w:rPr>
      </w:pPr>
      <w:r>
        <w:rPr>
          <w:rFonts w:cs="Times New Roman" w:ascii="Times New Roman" w:hAnsi="Times New Roman"/>
          <w:caps/>
          <w:color w:val="000000"/>
        </w:rPr>
      </w:r>
    </w:p>
    <w:p>
      <w:pPr>
        <w:pStyle w:val="Style0"/>
        <w:rPr>
          <w:rFonts w:ascii="Times New Roman" w:hAnsi="Times New Roman" w:cs="Times New Roman"/>
          <w:caps/>
          <w:color w:val="000000"/>
        </w:rPr>
      </w:pPr>
      <w:r>
        <w:rPr>
          <w:rFonts w:cs="Times New Roman" w:ascii="Times New Roman" w:hAnsi="Times New Roman"/>
          <w:caps/>
          <w:color w:val="000000"/>
        </w:rPr>
      </w:r>
    </w:p>
    <w:p>
      <w:pPr>
        <w:pStyle w:val="Signature"/>
        <w:rPr/>
      </w:pPr>
      <w:r>
        <w:rPr/>
        <w:t>__________________________</w:t>
      </w:r>
      <w:r>
        <w:rPr>
          <w:caps/>
        </w:rPr>
        <w:t xml:space="preserve"> </w:t>
      </w:r>
    </w:p>
    <w:p>
      <w:pPr>
        <w:pStyle w:val="Signature"/>
        <w:rPr/>
      </w:pPr>
      <w:bookmarkStart w:id="2" w:name="UFStartPoint"/>
      <w:r>
        <w:rPr/>
        <w:t>Nicholas W. Fels</w:t>
      </w:r>
      <w:bookmarkEnd w:id="2"/>
    </w:p>
    <w:p>
      <w:pPr>
        <w:pStyle w:val="Normal"/>
        <w:jc w:val="center"/>
        <w:rPr>
          <w:b/>
          <w:sz w:val="40"/>
        </w:rPr>
      </w:pPr>
      <w:r>
        <w:rPr>
          <w:b/>
          <w:sz w:val="40"/>
        </w:rPr>
      </w:r>
    </w:p>
    <w:sectPr>
      <w:type w:val="nextPage"/>
      <w:pgSz w:w="12240" w:h="15840"/>
      <w:pgMar w:left="1440" w:right="1440" w:gutter="0" w:header="0" w:top="1440" w:footer="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end"/>
      <w:pPr>
        <w:tabs>
          <w:tab w:val="num" w:pos="360"/>
        </w:tabs>
        <w:ind w:start="0" w:hanging="0"/>
      </w:pPr>
    </w:lvl>
    <w:lvl w:ilvl="1">
      <w:start w:val="1"/>
      <w:pStyle w:val="Heading2"/>
      <w:numFmt w:val="upperLetter"/>
      <w:lvlText w:val="%2."/>
      <w:lvlJc w:val="end"/>
      <w:pPr>
        <w:tabs>
          <w:tab w:val="num" w:pos="1080"/>
        </w:tabs>
        <w:ind w:start="720" w:hanging="0"/>
      </w:pPr>
    </w:lvl>
    <w:lvl w:ilvl="2">
      <w:start w:val="1"/>
      <w:pStyle w:val="Heading3"/>
      <w:numFmt w:val="decimal"/>
      <w:lvlText w:val="%3."/>
      <w:lvlJc w:val="end"/>
      <w:pPr>
        <w:tabs>
          <w:tab w:val="num" w:pos="1800"/>
        </w:tabs>
        <w:ind w:start="1440" w:hanging="0"/>
      </w:pPr>
    </w:lvl>
    <w:lvl w:ilvl="3">
      <w:start w:val="1"/>
      <w:pStyle w:val="Heading4"/>
      <w:numFmt w:val="lowerLetter"/>
      <w:lvlText w:val="%4)"/>
      <w:lvlJc w:val="start"/>
      <w:pPr>
        <w:tabs>
          <w:tab w:val="num" w:pos="2520"/>
        </w:tabs>
        <w:ind w:start="2160" w:hanging="0"/>
      </w:pPr>
    </w:lvl>
    <w:lvl w:ilvl="4">
      <w:start w:val="1"/>
      <w:pStyle w:val="Heading5"/>
      <w:numFmt w:val="decimal"/>
      <w:lvlText w:val="(%5)"/>
      <w:lvlJc w:val="start"/>
      <w:pPr>
        <w:tabs>
          <w:tab w:val="num" w:pos="3240"/>
        </w:tabs>
        <w:ind w:start="2880" w:hanging="0"/>
      </w:pPr>
    </w:lvl>
    <w:lvl w:ilvl="5">
      <w:start w:val="1"/>
      <w:pStyle w:val="Heading6"/>
      <w:numFmt w:val="lowerLetter"/>
      <w:lvlText w:val="(%6)"/>
      <w:lvlJc w:val="start"/>
      <w:pPr>
        <w:tabs>
          <w:tab w:val="num" w:pos="3960"/>
        </w:tabs>
        <w:ind w:start="3600" w:hanging="0"/>
      </w:pPr>
    </w:lvl>
    <w:lvl w:ilvl="6">
      <w:start w:val="1"/>
      <w:pStyle w:val="Heading7"/>
      <w:numFmt w:val="lowerRoman"/>
      <w:lvlText w:val="(%7)"/>
      <w:lvlJc w:val="start"/>
      <w:pPr>
        <w:tabs>
          <w:tab w:val="num" w:pos="4680"/>
        </w:tabs>
        <w:ind w:start="4320" w:hanging="0"/>
      </w:pPr>
    </w:lvl>
    <w:lvl w:ilvl="7">
      <w:start w:val="1"/>
      <w:pStyle w:val="Heading8"/>
      <w:numFmt w:val="lowerLetter"/>
      <w:lvlText w:val="(%8)"/>
      <w:lvlJc w:val="start"/>
      <w:pPr>
        <w:tabs>
          <w:tab w:val="num" w:pos="5400"/>
        </w:tabs>
        <w:ind w:start="5040" w:hanging="0"/>
      </w:pPr>
    </w:lvl>
    <w:lvl w:ilvl="8">
      <w:start w:val="1"/>
      <w:pStyle w:val="Heading9"/>
      <w:numFmt w:val="lowerRoman"/>
      <w:lvlText w:val="(%9)"/>
      <w:lvlJc w:val="start"/>
      <w:pPr>
        <w:tabs>
          <w:tab w:val="num" w:pos="6120"/>
        </w:tabs>
        <w:ind w:start="5760" w:hanging="0"/>
      </w:pPr>
    </w:lvl>
  </w:abstractNum>
  <w:abstractNum w:abstractNumId="2">
    <w:lvl w:ilvl="0">
      <w:start w:val="1"/>
      <w:numFmt w:val="decimal"/>
      <w:lvlText w:val="%1."/>
      <w:lvlJc w:val="start"/>
      <w:pPr>
        <w:tabs>
          <w:tab w:val="num" w:pos="1800"/>
        </w:tabs>
        <w:ind w:start="1800" w:hanging="360"/>
      </w:pPr>
    </w:lvl>
  </w:abstractNum>
  <w:abstractNum w:abstractNumId="3">
    <w:lvl w:ilvl="0">
      <w:start w:val="1"/>
      <w:numFmt w:val="decimal"/>
      <w:lvlText w:val="%1."/>
      <w:lvlJc w:val="start"/>
      <w:pPr>
        <w:tabs>
          <w:tab w:val="num" w:pos="1440"/>
        </w:tabs>
        <w:ind w:start="1440" w:hanging="360"/>
      </w:pPr>
    </w:lvl>
  </w:abstractNum>
  <w:abstractNum w:abstractNumId="4">
    <w:lvl w:ilvl="0">
      <w:start w:val="1"/>
      <w:numFmt w:val="decimal"/>
      <w:lvlText w:val="%1."/>
      <w:lvlJc w:val="start"/>
      <w:pPr>
        <w:tabs>
          <w:tab w:val="num" w:pos="1080"/>
        </w:tabs>
        <w:ind w:start="1080" w:hanging="360"/>
      </w:pPr>
    </w:lvl>
  </w:abstractNum>
  <w:abstractNum w:abstractNumId="5">
    <w:lvl w:ilvl="0">
      <w:start w:val="1"/>
      <w:numFmt w:val="decimal"/>
      <w:lvlText w:val="%1."/>
      <w:lvlJc w:val="start"/>
      <w:pPr>
        <w:tabs>
          <w:tab w:val="num" w:pos="720"/>
        </w:tabs>
        <w:ind w:start="720" w:hanging="360"/>
      </w:pPr>
    </w:lvl>
  </w:abstractNum>
  <w:abstractNum w:abstractNumId="6">
    <w:lvl w:ilvl="0">
      <w:start w:val="1"/>
      <w:numFmt w:val="bullet"/>
      <w:lvlText w:val=""/>
      <w:lvlJc w:val="start"/>
      <w:pPr>
        <w:tabs>
          <w:tab w:val="num" w:pos="1800"/>
        </w:tabs>
        <w:ind w:start="1800" w:hanging="360"/>
      </w:pPr>
      <w:rPr>
        <w:rFonts w:ascii="Symbol" w:hAnsi="Symbol" w:cs="Symbol" w:hint="default"/>
      </w:rPr>
    </w:lvl>
  </w:abstractNum>
  <w:abstractNum w:abstractNumId="7">
    <w:lvl w:ilvl="0">
      <w:start w:val="1"/>
      <w:numFmt w:val="bullet"/>
      <w:lvlText w:val=""/>
      <w:lvlJc w:val="start"/>
      <w:pPr>
        <w:tabs>
          <w:tab w:val="num" w:pos="1440"/>
        </w:tabs>
        <w:ind w:start="1440" w:hanging="360"/>
      </w:pPr>
      <w:rPr>
        <w:rFonts w:ascii="Symbol" w:hAnsi="Symbol" w:cs="Symbol" w:hint="default"/>
      </w:rPr>
    </w:lvl>
  </w:abstractNum>
  <w:abstractNum w:abstractNumId="8">
    <w:lvl w:ilvl="0">
      <w:start w:val="1"/>
      <w:numFmt w:val="bullet"/>
      <w:lvlText w:val=""/>
      <w:lvlJc w:val="start"/>
      <w:pPr>
        <w:tabs>
          <w:tab w:val="num" w:pos="1080"/>
        </w:tabs>
        <w:ind w:start="1080" w:hanging="360"/>
      </w:pPr>
      <w:rPr>
        <w:rFonts w:ascii="Symbol" w:hAnsi="Symbol" w:cs="Symbol" w:hint="default"/>
      </w:rPr>
    </w:lvl>
  </w:abstractNum>
  <w:abstractNum w:abstractNumId="9">
    <w:lvl w:ilvl="0">
      <w:start w:val="1"/>
      <w:numFmt w:val="bullet"/>
      <w:lvlText w:val=""/>
      <w:lvlJc w:val="start"/>
      <w:pPr>
        <w:tabs>
          <w:tab w:val="num" w:pos="720"/>
        </w:tabs>
        <w:ind w:start="720" w:hanging="360"/>
      </w:pPr>
      <w:rPr>
        <w:rFonts w:ascii="Symbol" w:hAnsi="Symbol" w:cs="Symbol" w:hint="default"/>
      </w:rPr>
    </w:lvl>
  </w:abstractNum>
  <w:abstractNum w:abstractNumId="10">
    <w:lvl w:ilvl="0">
      <w:start w:val="1"/>
      <w:numFmt w:val="decimal"/>
      <w:lvlText w:val="%1."/>
      <w:lvlJc w:val="start"/>
      <w:pPr>
        <w:tabs>
          <w:tab w:val="num" w:pos="360"/>
        </w:tabs>
        <w:ind w:start="360" w:hanging="360"/>
      </w:pPr>
    </w:lvl>
  </w:abstractNum>
  <w:abstractNum w:abstractNumId="11">
    <w:lvl w:ilvl="0">
      <w:start w:val="1"/>
      <w:numFmt w:val="bullet"/>
      <w:lvlText w:val=""/>
      <w:lvlJc w:val="start"/>
      <w:pPr>
        <w:tabs>
          <w:tab w:val="num" w:pos="360"/>
        </w:tabs>
        <w:ind w:star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autoHyphenation w:val="true"/>
  <w:hyphenationZone w:val="0"/>
  <w:compat>
    <w:doNotExpandShiftReturn/>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0"/>
      <w:lang w:val="en-US" w:eastAsia="zh-CN" w:bidi="hi-IN"/>
    </w:rPr>
  </w:style>
  <w:style w:type="paragraph" w:styleId="Heading1">
    <w:name w:val="heading 1"/>
    <w:basedOn w:val="Normal"/>
    <w:next w:val="BodyText"/>
    <w:qFormat/>
    <w:pPr>
      <w:keepNext w:val="true"/>
      <w:numPr>
        <w:ilvl w:val="0"/>
        <w:numId w:val="1"/>
      </w:numPr>
      <w:spacing w:before="0" w:after="240"/>
      <w:outlineLvl w:val="0"/>
    </w:pPr>
    <w:rPr>
      <w:b/>
    </w:rPr>
  </w:style>
  <w:style w:type="paragraph" w:styleId="Heading2">
    <w:name w:val="heading 2"/>
    <w:basedOn w:val="Normal"/>
    <w:next w:val="BodyText"/>
    <w:qFormat/>
    <w:pPr>
      <w:keepNext w:val="true"/>
      <w:numPr>
        <w:ilvl w:val="1"/>
        <w:numId w:val="1"/>
      </w:numPr>
      <w:spacing w:before="0" w:after="240"/>
      <w:outlineLvl w:val="1"/>
    </w:pPr>
    <w:rPr/>
  </w:style>
  <w:style w:type="paragraph" w:styleId="Heading3">
    <w:name w:val="heading 3"/>
    <w:basedOn w:val="Normal"/>
    <w:next w:val="BodyText"/>
    <w:qFormat/>
    <w:pPr>
      <w:numPr>
        <w:ilvl w:val="2"/>
        <w:numId w:val="1"/>
      </w:numPr>
      <w:spacing w:before="0" w:after="240"/>
      <w:outlineLvl w:val="2"/>
    </w:pPr>
    <w:rPr/>
  </w:style>
  <w:style w:type="paragraph" w:styleId="Heading4">
    <w:name w:val="heading 4"/>
    <w:basedOn w:val="Normal"/>
    <w:next w:val="BodyTextFirstIndent"/>
    <w:qFormat/>
    <w:pPr>
      <w:numPr>
        <w:ilvl w:val="3"/>
        <w:numId w:val="1"/>
      </w:numPr>
      <w:spacing w:before="0" w:after="240"/>
      <w:outlineLvl w:val="3"/>
    </w:pPr>
    <w:rPr/>
  </w:style>
  <w:style w:type="paragraph" w:styleId="Heading5">
    <w:name w:val="heading 5"/>
    <w:basedOn w:val="Normal"/>
    <w:next w:val="BodyText"/>
    <w:qFormat/>
    <w:pPr>
      <w:numPr>
        <w:ilvl w:val="4"/>
        <w:numId w:val="1"/>
      </w:numPr>
      <w:spacing w:before="0" w:after="240"/>
      <w:outlineLvl w:val="4"/>
    </w:pPr>
    <w:rPr/>
  </w:style>
  <w:style w:type="paragraph" w:styleId="Heading6">
    <w:name w:val="heading 6"/>
    <w:basedOn w:val="Normal"/>
    <w:next w:val="BodyText"/>
    <w:qFormat/>
    <w:pPr>
      <w:numPr>
        <w:ilvl w:val="5"/>
        <w:numId w:val="1"/>
      </w:numPr>
      <w:spacing w:before="0" w:after="240"/>
      <w:outlineLvl w:val="5"/>
    </w:pPr>
    <w:rPr/>
  </w:style>
  <w:style w:type="paragraph" w:styleId="Heading7">
    <w:name w:val="heading 7"/>
    <w:basedOn w:val="Normal"/>
    <w:next w:val="BodyText"/>
    <w:qFormat/>
    <w:pPr>
      <w:numPr>
        <w:ilvl w:val="6"/>
        <w:numId w:val="1"/>
      </w:numPr>
      <w:spacing w:before="0" w:after="240"/>
      <w:outlineLvl w:val="6"/>
    </w:pPr>
    <w:rPr/>
  </w:style>
  <w:style w:type="paragraph" w:styleId="Heading8">
    <w:name w:val="heading 8"/>
    <w:basedOn w:val="Normal"/>
    <w:next w:val="BodyText"/>
    <w:qFormat/>
    <w:pPr>
      <w:numPr>
        <w:ilvl w:val="7"/>
        <w:numId w:val="1"/>
      </w:numPr>
      <w:spacing w:before="0" w:after="240"/>
      <w:outlineLvl w:val="7"/>
    </w:pPr>
    <w:rPr/>
  </w:style>
  <w:style w:type="paragraph" w:styleId="Heading9">
    <w:name w:val="heading 9"/>
    <w:basedOn w:val="Normal"/>
    <w:next w:val="BodyText"/>
    <w:qFormat/>
    <w:pPr>
      <w:numPr>
        <w:ilvl w:val="8"/>
        <w:numId w:val="1"/>
      </w:numPr>
      <w:spacing w:before="0" w:after="240"/>
      <w:outlineLvl w:val="8"/>
    </w:pPr>
    <w:rPr/>
  </w:style>
  <w:style w:type="character" w:styleId="WW8Num5z0">
    <w:name w:val="WW8Num5z0"/>
    <w:qFormat/>
    <w:rPr>
      <w:rFonts w:ascii="Symbol" w:hAnsi="Symbol" w:cs="Symbol"/>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10z0">
    <w:name w:val="WW8Num10z0"/>
    <w:qFormat/>
    <w:rPr>
      <w:rFonts w:ascii="Symbol" w:hAnsi="Symbol" w:cs="Symbol"/>
    </w:rPr>
  </w:style>
  <w:style w:type="character" w:styleId="DefaultParagraphFont">
    <w:name w:val="Default Paragraph Font"/>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before="0" w:after="120"/>
    </w:pPr>
    <w:rPr/>
  </w:style>
  <w:style w:type="paragraph" w:styleId="List">
    <w:name w:val="List"/>
    <w:basedOn w:val="Normal"/>
    <w:pPr>
      <w:spacing w:before="0" w:after="240"/>
      <w:ind w:hanging="360" w:start="360" w:end="0"/>
    </w:pPr>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lockText">
    <w:name w:val="Block Text"/>
    <w:basedOn w:val="Normal"/>
    <w:qFormat/>
    <w:pPr>
      <w:spacing w:before="0" w:after="120"/>
      <w:ind w:hanging="0" w:start="1440" w:end="1440"/>
    </w:pPr>
    <w:rPr/>
  </w:style>
  <w:style w:type="paragraph" w:styleId="BodyText2">
    <w:name w:val="Body Text 2"/>
    <w:basedOn w:val="Normal"/>
    <w:qFormat/>
    <w:pPr>
      <w:spacing w:lineRule="auto" w:line="480"/>
    </w:pPr>
    <w:rPr/>
  </w:style>
  <w:style w:type="paragraph" w:styleId="BodyText3">
    <w:name w:val="Body Text 3"/>
    <w:basedOn w:val="Normal"/>
    <w:qFormat/>
    <w:pPr>
      <w:spacing w:before="0" w:after="120"/>
    </w:pPr>
    <w:rPr>
      <w:sz w:val="16"/>
    </w:rPr>
  </w:style>
  <w:style w:type="paragraph" w:styleId="BodyTextFirstIndent">
    <w:name w:val="Body Text First Indent"/>
    <w:basedOn w:val="BodyText"/>
    <w:qFormat/>
    <w:pPr>
      <w:ind w:firstLine="1440" w:start="0" w:end="0"/>
    </w:pPr>
    <w:rPr/>
  </w:style>
  <w:style w:type="paragraph" w:styleId="BodyTextIndent">
    <w:name w:val="Body Text Indent"/>
    <w:basedOn w:val="Normal"/>
    <w:pPr>
      <w:spacing w:before="0" w:after="120"/>
      <w:ind w:hanging="0" w:start="720" w:end="0"/>
    </w:pPr>
    <w:rPr/>
  </w:style>
  <w:style w:type="paragraph" w:styleId="BodyTextFirstIndent2">
    <w:name w:val="Body Text First Indent 2"/>
    <w:basedOn w:val="BodyTextIndent"/>
    <w:qFormat/>
    <w:pPr>
      <w:ind w:firstLine="1440" w:start="720" w:end="0"/>
    </w:pPr>
    <w:rPr/>
  </w:style>
  <w:style w:type="paragraph" w:styleId="BodyTextIndent2">
    <w:name w:val="Body Text Indent 2"/>
    <w:basedOn w:val="Normal"/>
    <w:qFormat/>
    <w:pPr>
      <w:spacing w:lineRule="auto" w:line="480" w:before="0" w:after="120"/>
      <w:ind w:hanging="0" w:start="720" w:end="0"/>
    </w:pPr>
    <w:rPr/>
  </w:style>
  <w:style w:type="paragraph" w:styleId="BodyTextIndent3">
    <w:name w:val="Body Text Indent 3"/>
    <w:basedOn w:val="Normal"/>
    <w:qFormat/>
    <w:pPr>
      <w:spacing w:before="0" w:after="120"/>
      <w:ind w:hanging="0" w:start="720" w:end="0"/>
    </w:pPr>
    <w:rPr>
      <w:sz w:val="16"/>
    </w:rPr>
  </w:style>
  <w:style w:type="paragraph" w:styleId="ListBullet2">
    <w:name w:val="List Bullet 2"/>
    <w:basedOn w:val="List"/>
    <w:pPr>
      <w:spacing w:before="0" w:after="120"/>
      <w:ind w:hanging="360" w:start="720"/>
    </w:pPr>
    <w:rPr/>
  </w:style>
  <w:style w:type="paragraph" w:styleId="WW-List2">
    <w:name w:val="WW-List 2"/>
    <w:basedOn w:val="Normal"/>
    <w:qFormat/>
    <w:pPr>
      <w:spacing w:before="0" w:after="240"/>
      <w:ind w:hanging="360" w:start="720" w:end="0"/>
    </w:pPr>
    <w:rPr/>
  </w:style>
  <w:style w:type="paragraph" w:styleId="ListBullet3">
    <w:name w:val="List Bullet 3"/>
    <w:basedOn w:val="List"/>
    <w:pPr>
      <w:spacing w:before="0" w:after="120"/>
      <w:ind w:hanging="360" w:start="1080"/>
    </w:pPr>
    <w:rPr/>
  </w:style>
  <w:style w:type="paragraph" w:styleId="WW-List3">
    <w:name w:val="WW-List 3"/>
    <w:basedOn w:val="Normal"/>
    <w:qFormat/>
    <w:pPr>
      <w:spacing w:before="0" w:after="240"/>
      <w:ind w:hanging="360" w:start="1080" w:end="0"/>
    </w:pPr>
    <w:rPr/>
  </w:style>
  <w:style w:type="paragraph" w:styleId="ListBullet4">
    <w:name w:val="List Bullet 4"/>
    <w:basedOn w:val="List"/>
    <w:pPr>
      <w:spacing w:before="0" w:after="120"/>
      <w:ind w:hanging="360" w:start="1440"/>
    </w:pPr>
    <w:rPr/>
  </w:style>
  <w:style w:type="paragraph" w:styleId="WW-List4">
    <w:name w:val="WW-List 4"/>
    <w:basedOn w:val="Normal"/>
    <w:qFormat/>
    <w:pPr>
      <w:spacing w:before="0" w:after="240"/>
      <w:ind w:hanging="360" w:start="1440" w:end="0"/>
    </w:pPr>
    <w:rPr/>
  </w:style>
  <w:style w:type="paragraph" w:styleId="ListBullet5">
    <w:name w:val="List Bullet 5"/>
    <w:basedOn w:val="List"/>
    <w:pPr>
      <w:spacing w:before="0" w:after="120"/>
      <w:ind w:hanging="360" w:start="1800"/>
    </w:pPr>
    <w:rPr/>
  </w:style>
  <w:style w:type="paragraph" w:styleId="WW-List5">
    <w:name w:val="WW-List 5"/>
    <w:basedOn w:val="Normal"/>
    <w:qFormat/>
    <w:pPr>
      <w:spacing w:before="0" w:after="240"/>
      <w:ind w:hanging="360" w:start="1800" w:end="0"/>
    </w:pPr>
    <w:rPr/>
  </w:style>
  <w:style w:type="paragraph" w:styleId="ListBullet">
    <w:name w:val="List Bullet"/>
    <w:basedOn w:val="Normal"/>
    <w:qFormat/>
    <w:pPr>
      <w:numPr>
        <w:ilvl w:val="0"/>
        <w:numId w:val="11"/>
      </w:numPr>
      <w:spacing w:before="0" w:after="240"/>
    </w:pPr>
    <w:rPr/>
  </w:style>
  <w:style w:type="paragraph" w:styleId="ListBullet21">
    <w:name w:val="List Bullet 21"/>
    <w:basedOn w:val="Normal"/>
    <w:qFormat/>
    <w:pPr>
      <w:numPr>
        <w:ilvl w:val="0"/>
        <w:numId w:val="9"/>
      </w:numPr>
      <w:spacing w:before="0" w:after="240"/>
    </w:pPr>
    <w:rPr/>
  </w:style>
  <w:style w:type="paragraph" w:styleId="ListBullet31">
    <w:name w:val="List Bullet 31"/>
    <w:basedOn w:val="Normal"/>
    <w:qFormat/>
    <w:pPr>
      <w:numPr>
        <w:ilvl w:val="0"/>
        <w:numId w:val="8"/>
      </w:numPr>
      <w:spacing w:before="0" w:after="240"/>
    </w:pPr>
    <w:rPr/>
  </w:style>
  <w:style w:type="paragraph" w:styleId="ListBullet41">
    <w:name w:val="List Bullet 41"/>
    <w:basedOn w:val="Normal"/>
    <w:qFormat/>
    <w:pPr>
      <w:numPr>
        <w:ilvl w:val="0"/>
        <w:numId w:val="7"/>
      </w:numPr>
      <w:spacing w:before="0" w:after="240"/>
    </w:pPr>
    <w:rPr/>
  </w:style>
  <w:style w:type="paragraph" w:styleId="ListBullet51">
    <w:name w:val="List Bullet 51"/>
    <w:basedOn w:val="Normal"/>
    <w:qFormat/>
    <w:pPr>
      <w:numPr>
        <w:ilvl w:val="0"/>
        <w:numId w:val="6"/>
      </w:numPr>
      <w:spacing w:before="0" w:after="240"/>
    </w:pPr>
    <w:rPr/>
  </w:style>
  <w:style w:type="paragraph" w:styleId="ListContinue">
    <w:name w:val="List Continue"/>
    <w:basedOn w:val="Normal"/>
    <w:qFormat/>
    <w:pPr>
      <w:spacing w:before="0" w:after="240"/>
      <w:ind w:hanging="0" w:start="360" w:end="0"/>
    </w:pPr>
    <w:rPr/>
  </w:style>
  <w:style w:type="paragraph" w:styleId="ListContinue2">
    <w:name w:val="List Continue 2"/>
    <w:basedOn w:val="Normal"/>
    <w:qFormat/>
    <w:pPr>
      <w:spacing w:before="0" w:after="240"/>
      <w:ind w:hanging="0" w:start="720" w:end="0"/>
    </w:pPr>
    <w:rPr/>
  </w:style>
  <w:style w:type="paragraph" w:styleId="ListContinue3">
    <w:name w:val="List Continue 3"/>
    <w:basedOn w:val="Normal"/>
    <w:qFormat/>
    <w:pPr>
      <w:spacing w:before="0" w:after="240"/>
      <w:ind w:hanging="0" w:start="1080" w:end="0"/>
    </w:pPr>
    <w:rPr/>
  </w:style>
  <w:style w:type="paragraph" w:styleId="ListContinue4">
    <w:name w:val="List Continue 4"/>
    <w:basedOn w:val="Normal"/>
    <w:qFormat/>
    <w:pPr>
      <w:spacing w:before="0" w:after="240"/>
      <w:ind w:hanging="0" w:start="1440" w:end="0"/>
    </w:pPr>
    <w:rPr/>
  </w:style>
  <w:style w:type="paragraph" w:styleId="ListContinue5">
    <w:name w:val="List Continue 5"/>
    <w:basedOn w:val="Normal"/>
    <w:qFormat/>
    <w:pPr>
      <w:spacing w:before="0" w:after="240"/>
      <w:ind w:hanging="0" w:start="1800" w:end="0"/>
    </w:pPr>
    <w:rPr/>
  </w:style>
  <w:style w:type="paragraph" w:styleId="ListNumber">
    <w:name w:val="List Number"/>
    <w:basedOn w:val="Normal"/>
    <w:qFormat/>
    <w:pPr>
      <w:numPr>
        <w:ilvl w:val="0"/>
        <w:numId w:val="10"/>
      </w:numPr>
      <w:spacing w:before="0" w:after="240"/>
    </w:pPr>
    <w:rPr/>
  </w:style>
  <w:style w:type="paragraph" w:styleId="ListNumber2">
    <w:name w:val="List Number 2"/>
    <w:basedOn w:val="Normal"/>
    <w:qFormat/>
    <w:pPr>
      <w:spacing w:before="0" w:after="240"/>
    </w:pPr>
    <w:rPr/>
  </w:style>
  <w:style w:type="paragraph" w:styleId="ListNumber3">
    <w:name w:val="List Number 3"/>
    <w:basedOn w:val="Normal"/>
    <w:qFormat/>
    <w:pPr>
      <w:numPr>
        <w:ilvl w:val="0"/>
        <w:numId w:val="4"/>
      </w:numPr>
      <w:spacing w:before="0" w:after="240"/>
    </w:pPr>
    <w:rPr/>
  </w:style>
  <w:style w:type="paragraph" w:styleId="ListNumber4">
    <w:name w:val="List Number 4"/>
    <w:basedOn w:val="Normal"/>
    <w:qFormat/>
    <w:pPr>
      <w:numPr>
        <w:ilvl w:val="0"/>
        <w:numId w:val="3"/>
      </w:numPr>
      <w:spacing w:before="0" w:after="240"/>
    </w:pPr>
    <w:rPr/>
  </w:style>
  <w:style w:type="paragraph" w:styleId="ListNumber5">
    <w:name w:val="List Number 5"/>
    <w:basedOn w:val="Normal"/>
    <w:qFormat/>
    <w:pPr>
      <w:numPr>
        <w:ilvl w:val="0"/>
        <w:numId w:val="2"/>
      </w:numPr>
      <w:spacing w:before="0" w:after="240"/>
    </w:pPr>
    <w:rPr/>
  </w:style>
  <w:style w:type="paragraph" w:styleId="Salutation">
    <w:name w:val="Salutation"/>
    <w:basedOn w:val="Normal"/>
    <w:next w:val="Normal"/>
    <w:qFormat/>
    <w:pPr/>
    <w:rPr/>
  </w:style>
  <w:style w:type="paragraph" w:styleId="Signature">
    <w:name w:val="Signature"/>
    <w:basedOn w:val="Normal"/>
    <w:pPr>
      <w:ind w:hanging="0" w:start="4320" w:end="0"/>
    </w:pPr>
    <w:rPr/>
  </w:style>
  <w:style w:type="paragraph" w:styleId="BodyTextFirstIndentDouble">
    <w:name w:val="Body Text First Indent Double"/>
    <w:basedOn w:val="BodyText"/>
    <w:qFormat/>
    <w:pPr>
      <w:spacing w:lineRule="auto" w:line="480" w:before="0" w:after="0"/>
      <w:ind w:firstLine="1440" w:start="0" w:end="0"/>
    </w:pPr>
    <w:rPr/>
  </w:style>
  <w:style w:type="paragraph" w:styleId="NumberedParaSingle">
    <w:name w:val="Numbered Para Single"/>
    <w:basedOn w:val="ListNumber2"/>
    <w:qFormat/>
    <w:pPr/>
    <w:rPr/>
  </w:style>
  <w:style w:type="paragraph" w:styleId="NumberedParaDouble">
    <w:name w:val="Numbered Para Double"/>
    <w:basedOn w:val="NumberedParaSingle"/>
    <w:qFormat/>
    <w:pPr>
      <w:numPr>
        <w:ilvl w:val="0"/>
        <w:numId w:val="5"/>
      </w:numPr>
      <w:spacing w:lineRule="auto" w:line="480" w:before="0" w:after="0"/>
    </w:pPr>
    <w:rPr/>
  </w:style>
  <w:style w:type="paragraph" w:styleId="Style0">
    <w:name w:val="Style0"/>
    <w:qFormat/>
    <w:pPr>
      <w:widowControl/>
      <w:bidi w:val="0"/>
    </w:pPr>
    <w:rPr>
      <w:rFonts w:ascii="Arial" w:hAnsi="Arial" w:eastAsia="Times New Roman" w:cs="Arial"/>
      <w:color w:val="auto"/>
      <w:sz w:val="24"/>
      <w:szCs w:val="20"/>
      <w:lang w:val="en-US" w:eastAsia="en-US" w:bidi="hi-IN"/>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xlsx"/><Relationship Id="rId3" Type="http://schemas.openxmlformats.org/officeDocument/2006/relationships/image" Target="media/image1.wmf"/><Relationship Id="rId4" Type="http://schemas.openxmlformats.org/officeDocument/2006/relationships/package" Target="embeddings/oleObject2.xlsx"/><Relationship Id="rId5" Type="http://schemas.openxmlformats.org/officeDocument/2006/relationships/image" Target="media/image2.wmf"/><Relationship Id="rId6" Type="http://schemas.openxmlformats.org/officeDocument/2006/relationships/package" Target="embeddings/oleObject3.xlsx"/><Relationship Id="rId7" Type="http://schemas.openxmlformats.org/officeDocument/2006/relationships/image" Target="media/image3.wmf"/><Relationship Id="rId8" Type="http://schemas.openxmlformats.org/officeDocument/2006/relationships/package" Target="embeddings/oleObject4.xlsx"/><Relationship Id="rId9" Type="http://schemas.openxmlformats.org/officeDocument/2006/relationships/image" Target="media/image4.wmf"/><Relationship Id="rId10" Type="http://schemas.openxmlformats.org/officeDocument/2006/relationships/package" Target="embeddings/oleObject5.xlsx"/><Relationship Id="rId11" Type="http://schemas.openxmlformats.org/officeDocument/2006/relationships/image" Target="media/image5.wmf"/><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4</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2000-08-02T15:39:00Z</dcterms:created>
  <dc:creator>Sharon Taft</dc:creator>
  <dc:description/>
  <dc:language>en-CA</dc:language>
  <cp:lastModifiedBy>Sharon Taft</cp:lastModifiedBy>
  <cp:lastPrinted>2000-08-01T17:35:00Z</cp:lastPrinted>
  <dcterms:modified xsi:type="dcterms:W3CDTF">2000-08-02T15:43:00Z</dcterms:modified>
  <cp:revision>3</cp:revision>
  <dc:subject/>
  <dc:title>APPENDIX A</dc:title>
</cp:coreProperties>
</file>