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b/>
          <w:sz w:val="20"/>
        </w:rPr>
      </w:pPr>
      <w:r>
        <w:rPr>
          <w:rFonts w:cs="Arial" w:ascii="Arial" w:hAnsi="Arial"/>
          <w:b/>
          <w:sz w:val="20"/>
        </w:rPr>
      </w:r>
    </w:p>
    <w:p>
      <w:pPr>
        <w:pStyle w:val="Normal"/>
        <w:jc w:val="center"/>
        <w:rPr>
          <w:rFonts w:ascii="Arial" w:hAnsi="Arial" w:cs="Arial"/>
          <w:b/>
        </w:rPr>
      </w:pPr>
      <w:r>
        <w:rPr>
          <w:rFonts w:cs="Arial" w:ascii="Arial" w:hAnsi="Arial"/>
          <w:b/>
        </w:rPr>
        <w:t>APC 2003/2004 RFP</w:t>
      </w:r>
    </w:p>
    <w:p>
      <w:pPr>
        <w:pStyle w:val="Normal"/>
        <w:jc w:val="center"/>
        <w:rPr>
          <w:rFonts w:ascii="Arial" w:hAnsi="Arial" w:cs="Arial"/>
          <w:b/>
        </w:rPr>
      </w:pPr>
      <w:r>
        <w:rPr>
          <w:rFonts w:cs="Arial" w:ascii="Arial" w:hAnsi="Arial"/>
          <w:b/>
        </w:rPr>
        <w:t>Basic Terms and Conditions</w:t>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Introduction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purpose of this document is to provide sufficient information to the Bidder (Seller) regarding required terms and conditions contained in any Power Purchase Agreement (PPA) between the Bidder and Alabama Power Company (Company or Buyer) in order to allow the Bidder to firmly define the price for Capacity and Energy in the Bidder’s initial proposal. While certain terms and conditions may be negotiable, it is expected that the Bidder’s quoted prices contemplate performance in accordance with these Basic Terms and Conditions.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 order to facilitate an evaluation of the bids, the Company requires that each Bidder indicate which provisions would be inapplicable to its particular proposal as well as any deviation from the proposed terms and conditions assumed by the Bidder in its proposal.  In addition, each Bidder must identify additional terms and conditions not addressed in these Basic Terms and Conditions which it would require to be incorporated in a definitive PPA.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Exceptions to the Basic Terms and Conditions must be clearly stated and will be carefully evaluated by the Company.  Any exceptions, changes or modification will affect the value of a Bidder's proposal to the Company.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firstLine="720" w:start="5040" w:end="0"/>
        <w:rPr>
          <w:rFonts w:ascii="Arial" w:hAnsi="Arial" w:cs="Arial"/>
          <w:sz w:val="20"/>
        </w:rPr>
      </w:pPr>
      <w:r>
        <w:rPr>
          <w:rFonts w:cs="Arial" w:ascii="Arial" w:hAnsi="Arial"/>
          <w:sz w:val="20"/>
          <w:u w:val="single"/>
        </w:rPr>
        <w:t>Terms and Conditions</w:t>
      </w:r>
    </w:p>
    <w:p>
      <w:pPr>
        <w:pStyle w:val="Heading3"/>
        <w:ind w:hanging="0" w:start="0"/>
        <w:rPr>
          <w:rFonts w:ascii="Arial" w:hAnsi="Arial" w:cs="Arial"/>
          <w:sz w:val="20"/>
        </w:rPr>
      </w:pPr>
      <w:r>
        <w:rPr>
          <w:rFonts w:cs="Arial" w:ascii="Arial" w:hAnsi="Arial"/>
          <w:sz w:val="20"/>
        </w:rPr>
        <w:t>Capacity Available for Purchase</w:t>
      </w:r>
    </w:p>
    <w:p>
      <w:pPr>
        <w:pStyle w:val="Normal"/>
        <w:ind w:hanging="3960" w:start="4680" w:end="0"/>
        <w:rPr>
          <w:rFonts w:ascii="Arial" w:hAnsi="Arial" w:cs="Arial"/>
          <w:sz w:val="20"/>
        </w:rPr>
      </w:pPr>
      <w:r>
        <w:rPr>
          <w:rFonts w:cs="Arial" w:ascii="Arial" w:hAnsi="Arial"/>
          <w:sz w:val="20"/>
        </w:rPr>
      </w:r>
    </w:p>
    <w:p>
      <w:pPr>
        <w:pStyle w:val="Normal"/>
        <w:ind w:hanging="3960" w:start="4680" w:end="0"/>
        <w:rPr>
          <w:rFonts w:ascii="Arial" w:hAnsi="Arial" w:cs="Arial"/>
        </w:rPr>
      </w:pPr>
      <w:r>
        <w:rPr>
          <w:rFonts w:cs="Arial" w:ascii="Arial" w:hAnsi="Arial"/>
        </w:rPr>
        <w:t>Facility</w:t>
        <w:tab/>
        <w:t>For the purposes of this document, the Facility shall be defined as all land, rights-of-way, and equipment necessary to provide the contracted generation to the Delivery Point.</w:t>
      </w:r>
    </w:p>
    <w:p>
      <w:pPr>
        <w:pStyle w:val="Normal"/>
        <w:ind w:hanging="3960" w:start="468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Term</w:t>
        <w:tab/>
        <w:t>June 1, 2003 – May 31, 2010</w:t>
      </w:r>
    </w:p>
    <w:p>
      <w:pPr>
        <w:pStyle w:val="Normal"/>
        <w:ind w:hanging="3960" w:start="468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Capacity Amount</w:t>
        <w:tab/>
        <w:t>As supplied by Seller in Attachment A to the RFP. The entire capacity amount (or unit output) shall be made available to the Buyer at all times. Seller may sell excess generation to third parties on a non-firm basis, subject to immediate recall.</w:t>
      </w:r>
    </w:p>
    <w:p>
      <w:pPr>
        <w:pStyle w:val="Normal"/>
        <w:ind w:hanging="3960" w:start="4680" w:end="0"/>
        <w:rPr>
          <w:rFonts w:ascii="Arial" w:hAnsi="Arial" w:cs="Arial"/>
        </w:rPr>
      </w:pPr>
      <w:r>
        <w:rPr>
          <w:rFonts w:cs="Arial" w:ascii="Arial" w:hAnsi="Arial"/>
        </w:rPr>
      </w:r>
    </w:p>
    <w:p>
      <w:pPr>
        <w:pStyle w:val="Normal"/>
        <w:ind w:hanging="3960" w:start="4680" w:end="0"/>
        <w:rPr/>
      </w:pPr>
      <w:r>
        <w:rPr>
          <w:rFonts w:cs="Arial" w:ascii="Arial" w:hAnsi="Arial"/>
        </w:rPr>
        <w:t>Contract Capacity Ratings</w:t>
        <w:tab/>
        <w:t>First year contract capacity rating to be based on demonstrated capability (determined prior to Commercial Operation Date) as corrected for ambient conditions (95</w:t>
      </w:r>
      <w:r>
        <w:rPr>
          <w:rFonts w:eastAsia="Symbol" w:cs="Symbol" w:ascii="Symbol" w:hAnsi="Symbol"/>
        </w:rPr>
        <w:sym w:font="Symbol" w:char="f0b0"/>
      </w:r>
      <w:r>
        <w:rPr>
          <w:rFonts w:cs="Arial" w:ascii="Arial" w:hAnsi="Arial"/>
        </w:rPr>
        <w:t xml:space="preserve"> F, 45% RH). Initial capacity rating shall be within limits set for guaranteed capacity as specified by Seller in Attachment A of the RFP. (Seller retains the right to re-demonstrate within 90 days of the first demonstration.)  Thereafter, annual contract capacity ratings will be declared by Seller prior to June 1 for each year of the contract term. All capacity-dependent payments or calculations will utilize the figure determined in this manner for each 12-month period beginning June 1 of each year. Buyer may require a re-demonstration of rated capacity on an annual basis if Seller fails to maintain the capability of the Facility within the normal manufacturer’s degradation curves.</w:t>
      </w:r>
    </w:p>
    <w:p>
      <w:pPr>
        <w:pStyle w:val="Normal"/>
        <w:ind w:hanging="5040" w:start="5760" w:end="0"/>
        <w:rPr>
          <w:rFonts w:ascii="Arial" w:hAnsi="Arial" w:cs="Arial"/>
        </w:rPr>
      </w:pPr>
      <w:r>
        <w:rPr>
          <w:rFonts w:cs="Arial" w:ascii="Arial" w:hAnsi="Arial"/>
        </w:rPr>
      </w:r>
    </w:p>
    <w:p>
      <w:pPr>
        <w:pStyle w:val="Normal"/>
        <w:ind w:hanging="3960" w:start="4680" w:end="0"/>
        <w:rPr>
          <w:rFonts w:ascii="Arial" w:hAnsi="Arial" w:cs="Arial"/>
          <w:color w:val="000000"/>
        </w:rPr>
      </w:pPr>
      <w:r>
        <w:rPr>
          <w:rFonts w:cs="Arial" w:ascii="Arial" w:hAnsi="Arial"/>
          <w:color w:val="000000"/>
        </w:rPr>
        <w:t>Commercial Operation Date</w:t>
        <w:tab/>
        <w:t>Seller is responsible for meeting the Required Commercial Operation Date (RCOD) of June 1, 2003.  The penalty for failure to meet the RCOD shall be either of the following (irrevocable election determined prior to contract execution):</w:t>
      </w:r>
    </w:p>
    <w:p>
      <w:pPr>
        <w:pStyle w:val="Normal"/>
        <w:ind w:hanging="3960" w:start="4680" w:end="0"/>
        <w:rPr>
          <w:rFonts w:ascii="Arial" w:hAnsi="Arial" w:cs="Arial"/>
          <w:color w:val="000000"/>
        </w:rPr>
      </w:pPr>
      <w:r>
        <w:rPr>
          <w:rFonts w:cs="Arial" w:ascii="Arial" w:hAnsi="Arial"/>
          <w:color w:val="000000"/>
        </w:rPr>
      </w:r>
    </w:p>
    <w:p>
      <w:pPr>
        <w:pStyle w:val="Normal"/>
        <w:ind w:hanging="3960" w:start="4680" w:end="0"/>
        <w:rPr>
          <w:rFonts w:ascii="Arial" w:hAnsi="Arial" w:cs="Arial"/>
          <w:color w:val="000000"/>
        </w:rPr>
      </w:pPr>
      <w:r>
        <w:rPr>
          <w:rFonts w:cs="Arial" w:ascii="Arial" w:hAnsi="Arial"/>
          <w:color w:val="000000"/>
        </w:rPr>
        <w:tab/>
        <w:t>Alternative A – The penalty for failure to meet the RCOD shall be the prorated forfeiture of monthly capacity payments plus liquidated damages prorated daily as follows:</w:t>
      </w:r>
    </w:p>
    <w:p>
      <w:pPr>
        <w:pStyle w:val="Normal"/>
        <w:ind w:hanging="3960" w:start="4680" w:end="0"/>
        <w:rPr>
          <w:rFonts w:ascii="Arial" w:hAnsi="Arial" w:cs="Arial"/>
          <w:color w:val="000000"/>
        </w:rPr>
      </w:pPr>
      <w:r>
        <w:rPr>
          <w:rFonts w:cs="Arial" w:ascii="Arial" w:hAnsi="Arial"/>
          <w:color w:val="000000"/>
        </w:rPr>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June</w:t>
        <w:tab/>
        <w:t>$2.00 per kW per month</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July</w:t>
        <w:tab/>
        <w:t>$4.00 per kW per month</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August</w:t>
        <w:tab/>
        <w:t>$4.00 per kW per month</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September</w:t>
        <w:tab/>
        <w:t>$1.00 per kW per month</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October-May</w:t>
        <w:tab/>
        <w:t>$0.40 per kW per month</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Seller shall pay the above damages until the earlier of (i) the date the Facility achieves commercial operation, (ii) the date that the Seller notifies the Buyer that the Facility cannot achieve commercial operation, or (iii) one (1) year following the RCOD. Events (ii) and (iii) above shall be considered Events of Default and will be subject to Default Remedies, including a draw down of the full amount of the Performance Security.</w:t>
      </w:r>
    </w:p>
    <w:p>
      <w:pPr>
        <w:pStyle w:val="Normal"/>
        <w:tabs>
          <w:tab w:val="clear" w:pos="720"/>
          <w:tab w:val="left" w:pos="6120" w:leader="none"/>
        </w:tabs>
        <w:ind w:hanging="3960" w:start="4680" w:end="0"/>
        <w:rPr>
          <w:rFonts w:ascii="Arial" w:hAnsi="Arial" w:eastAsia="Arial" w:cs="Arial"/>
          <w:color w:val="000000"/>
        </w:rPr>
      </w:pPr>
      <w:r>
        <w:rPr>
          <w:rFonts w:eastAsia="Arial" w:cs="Arial" w:ascii="Arial" w:hAnsi="Arial"/>
          <w:color w:val="000000"/>
        </w:rPr>
        <w:t xml:space="preserve">  </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tab/>
        <w:t>Alternative B – Seller shall meet its scheduling obligations during the period of delay in commercial operation by committing to provide replacement power from alternative resources. If the Seller so elects, it must meet Buyer’s schedules on a guaranteed 100% availability basis. At the RCOD, Seller shall deliver to Buyer an additional letter of credit as performance security for this cover obligation in the amount of $25/kW of capacity. In the event Seller fails to meet a delivery schedule, Buyer may draw down the security to cover full replacement power costs. Seller will be required to periodically replenish such performance security. Failure to achieve commercial operation within one (1) year of the RCOD shall be considered an Event of Default and will be subject to Default Remedies, including a draw down of the full amount of the Performance Security.</w:t>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r>
    </w:p>
    <w:p>
      <w:pPr>
        <w:pStyle w:val="Normal"/>
        <w:tabs>
          <w:tab w:val="clear" w:pos="720"/>
          <w:tab w:val="left" w:pos="6120" w:leader="none"/>
        </w:tabs>
        <w:ind w:hanging="3960" w:start="4680" w:end="0"/>
        <w:rPr>
          <w:rFonts w:ascii="Arial" w:hAnsi="Arial" w:cs="Arial"/>
          <w:color w:val="000000"/>
        </w:rPr>
      </w:pPr>
      <w:r>
        <w:rPr>
          <w:rFonts w:cs="Arial" w:ascii="Arial" w:hAnsi="Arial"/>
          <w:color w:val="000000"/>
        </w:rPr>
      </w:r>
    </w:p>
    <w:p>
      <w:pPr>
        <w:pStyle w:val="Normal"/>
        <w:ind w:hanging="5040" w:start="576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Capacity Degradation</w:t>
        <w:tab/>
        <w:t>Guaranteed to be no more than the normal manufacturer’s degradation curves from the first year demonstrated capability during the contract term. A degradation of more than manufacturer’s specifications will result in the Seller providing to Buyer a cure plan for restoring the capacity or a reduction in the amount of capacity with a negotiated buydown payment to the Buyer. During the duration of the cure period, penalties and/or reductions in capacity payments will be applied as appropriate. An Event of Default will occur if the Seller is unable to provide an acceptable cure plan or the Seller fails to provide a capacity rating above a negotiated minimum level.</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Power Purchase Cost</w:t>
      </w:r>
    </w:p>
    <w:p>
      <w:pPr>
        <w:pStyle w:val="Normal"/>
        <w:rPr>
          <w:rFonts w:ascii="Arial" w:hAnsi="Arial" w:cs="Arial"/>
          <w:b/>
        </w:rPr>
      </w:pPr>
      <w:r>
        <w:rPr>
          <w:rFonts w:cs="Arial" w:ascii="Arial" w:hAnsi="Arial"/>
          <w:b/>
        </w:rPr>
      </w:r>
    </w:p>
    <w:p>
      <w:pPr>
        <w:pStyle w:val="Normal"/>
        <w:ind w:hanging="3960" w:start="4680" w:end="0"/>
        <w:rPr>
          <w:rFonts w:ascii="Arial" w:hAnsi="Arial" w:cs="Arial"/>
          <w:vertAlign w:val="superscript"/>
        </w:rPr>
      </w:pPr>
      <w:r>
        <w:rPr>
          <w:rFonts w:cs="Arial" w:ascii="Arial" w:hAnsi="Arial"/>
        </w:rPr>
        <w:t>Capacity Price ($/kW-mo.)</w:t>
        <w:tab/>
        <w:t>As supplied by Seller in Attachment A of the RFP.</w:t>
      </w:r>
    </w:p>
    <w:p>
      <w:pPr>
        <w:pStyle w:val="Normal"/>
        <w:ind w:start="5760" w:end="0"/>
        <w:rPr>
          <w:rFonts w:ascii="Arial" w:hAnsi="Arial" w:cs="Arial"/>
          <w:vertAlign w:val="superscript"/>
        </w:rPr>
      </w:pPr>
      <w:r>
        <w:rPr>
          <w:rFonts w:cs="Arial" w:ascii="Arial" w:hAnsi="Arial"/>
          <w:vertAlign w:val="superscript"/>
        </w:rPr>
      </w:r>
    </w:p>
    <w:p>
      <w:pPr>
        <w:pStyle w:val="Normal"/>
        <w:ind w:hanging="3960" w:start="4680" w:end="0"/>
        <w:rPr>
          <w:rFonts w:ascii="Arial" w:hAnsi="Arial" w:cs="Arial"/>
        </w:rPr>
      </w:pPr>
      <w:r>
        <w:rPr>
          <w:rFonts w:cs="Arial" w:ascii="Arial" w:hAnsi="Arial"/>
        </w:rPr>
        <w:t>Fixed O&amp;M ($/kW-yr.)</w:t>
        <w:tab/>
        <w:t>As supplied by Seller in Attachment A of the</w:t>
      </w:r>
    </w:p>
    <w:p>
      <w:pPr>
        <w:pStyle w:val="Normal"/>
        <w:ind w:start="4680" w:end="0"/>
        <w:rPr/>
      </w:pPr>
      <w:r>
        <w:rPr>
          <w:rFonts w:cs="Arial" w:ascii="Arial" w:hAnsi="Arial"/>
        </w:rPr>
        <w:t xml:space="preserve">RFP </w:t>
      </w:r>
      <w:r>
        <w:rPr>
          <w:rFonts w:cs="Arial" w:ascii="Arial" w:hAnsi="Arial"/>
          <w:vertAlign w:val="superscript"/>
        </w:rPr>
        <w:t>(2)</w:t>
      </w:r>
      <w:r>
        <w:rPr>
          <w:rFonts w:cs="Arial" w:ascii="Arial" w:hAnsi="Arial"/>
        </w:rPr>
        <w:t>.</w:t>
      </w:r>
    </w:p>
    <w:p>
      <w:pPr>
        <w:pStyle w:val="Normal"/>
        <w:ind w:hanging="5040" w:start="576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Start-up Cost</w:t>
        <w:tab/>
        <w:t>As supplied by Seller in Attachment A of the</w:t>
      </w:r>
    </w:p>
    <w:p>
      <w:pPr>
        <w:pStyle w:val="Normal"/>
        <w:ind w:start="4680" w:end="0"/>
        <w:rPr/>
      </w:pPr>
      <w:r>
        <w:rPr>
          <w:rFonts w:cs="Arial" w:ascii="Arial" w:hAnsi="Arial"/>
        </w:rPr>
        <w:t xml:space="preserve">RFP </w:t>
      </w:r>
      <w:r>
        <w:rPr>
          <w:rFonts w:cs="Arial" w:ascii="Arial" w:hAnsi="Arial"/>
          <w:vertAlign w:val="superscript"/>
        </w:rPr>
        <w:t>(2)</w:t>
      </w:r>
      <w:r>
        <w:rPr>
          <w:rFonts w:cs="Arial" w:ascii="Arial" w:hAnsi="Arial"/>
        </w:rPr>
        <w:t xml:space="preserve">.  </w:t>
      </w:r>
    </w:p>
    <w:p>
      <w:pPr>
        <w:pStyle w:val="Normal"/>
        <w:ind w:hanging="3960" w:start="468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Fixed Fuel Transportation</w:t>
        <w:tab/>
        <w:t>As supplied by Seller in Attachment A of the RFP.</w:t>
      </w:r>
    </w:p>
    <w:p>
      <w:pPr>
        <w:pStyle w:val="Normal"/>
        <w:ind w:hanging="5040" w:start="5760" w:end="0"/>
        <w:rPr>
          <w:rFonts w:ascii="Arial" w:hAnsi="Arial" w:cs="Arial"/>
        </w:rPr>
      </w:pPr>
      <w:r>
        <w:rPr>
          <w:rFonts w:cs="Arial" w:ascii="Arial" w:hAnsi="Arial"/>
        </w:rPr>
      </w:r>
    </w:p>
    <w:p>
      <w:pPr>
        <w:pStyle w:val="Normal"/>
        <w:ind w:hanging="3960" w:start="4680" w:end="0"/>
        <w:rPr>
          <w:rFonts w:ascii="Arial" w:hAnsi="Arial" w:cs="Arial"/>
        </w:rPr>
      </w:pPr>
      <w:r>
        <w:rPr>
          <w:rFonts w:cs="Arial" w:ascii="Arial" w:hAnsi="Arial"/>
        </w:rPr>
        <w:t>Energy Charge</w:t>
        <w:tab/>
        <w:t>As provided by Seller in Attachment A of the RFP.</w:t>
      </w:r>
    </w:p>
    <w:p>
      <w:pPr>
        <w:pStyle w:val="Normal"/>
        <w:ind w:hanging="3960" w:start="468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r>
    </w:p>
    <w:p>
      <w:pPr>
        <w:pStyle w:val="Normal"/>
        <w:ind w:hanging="4680" w:start="4680" w:end="0"/>
        <w:rPr/>
      </w:pPr>
      <w:r>
        <w:rPr>
          <w:rFonts w:cs="Arial" w:ascii="Arial" w:hAnsi="Arial"/>
          <w:b/>
        </w:rPr>
        <w:t>Fuel Supply Plan</w:t>
        <w:tab/>
      </w:r>
      <w:r>
        <w:rPr>
          <w:rFonts w:cs="Arial" w:ascii="Arial" w:hAnsi="Arial"/>
        </w:rPr>
        <w:t>In the event that the Bidder’s proposal is not a tolling arrangement or fixed energy pricing, in addition to the information supplied in Attachment A of the RFP, the Seller shall provide a detailed description of the proposed fuel supply plan, including, but not limited to, treatment of balancing costs, out of dispatch requests, alternate fuel arrangements, transportation firmness (recallable/non-recallable), fuel shrinkage, variable storage fees, and all applicable taxes.</w:t>
      </w:r>
    </w:p>
    <w:p>
      <w:pPr>
        <w:pStyle w:val="Normal"/>
        <w:ind w:start="144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r>
    </w:p>
    <w:p>
      <w:pPr>
        <w:pStyle w:val="Normal"/>
        <w:ind w:hanging="5760" w:start="5760" w:end="0"/>
        <w:rPr>
          <w:rFonts w:ascii="Arial" w:hAnsi="Arial" w:cs="Arial"/>
          <w:b/>
        </w:rPr>
      </w:pPr>
      <w:r>
        <w:rPr>
          <w:rFonts w:cs="Arial" w:ascii="Arial" w:hAnsi="Arial"/>
          <w:b/>
        </w:rPr>
        <w:t>Capacity Pricing</w:t>
      </w:r>
    </w:p>
    <w:p>
      <w:pPr>
        <w:pStyle w:val="Normal"/>
        <w:ind w:hanging="5760" w:start="5760" w:end="0"/>
        <w:rPr>
          <w:rFonts w:ascii="Arial" w:hAnsi="Arial" w:cs="Arial"/>
          <w:b/>
        </w:rPr>
      </w:pPr>
      <w:r>
        <w:rPr>
          <w:rFonts w:cs="Arial" w:ascii="Arial" w:hAnsi="Arial"/>
          <w:b/>
        </w:rPr>
      </w:r>
    </w:p>
    <w:p>
      <w:pPr>
        <w:pStyle w:val="Heading2"/>
        <w:ind w:hanging="3960" w:start="4680" w:end="0"/>
        <w:rPr>
          <w:rFonts w:ascii="Arial" w:hAnsi="Arial" w:cs="Arial"/>
          <w:sz w:val="20"/>
        </w:rPr>
      </w:pPr>
      <w:r>
        <w:rPr>
          <w:rFonts w:cs="Arial" w:ascii="Arial" w:hAnsi="Arial"/>
          <w:sz w:val="20"/>
        </w:rPr>
        <w:t>Unit Availability</w:t>
        <w:tab/>
        <w:t>Pricing based on receiving 100% of seasonally weighted capacity payments for availability between 96% and 97%, subject to penalties and bonuses outlined below:</w:t>
      </w:r>
    </w:p>
    <w:p>
      <w:pPr>
        <w:pStyle w:val="Normal"/>
        <w:rPr>
          <w:rFonts w:ascii="Arial" w:hAnsi="Arial" w:cs="Arial"/>
          <w:sz w:val="20"/>
        </w:rPr>
      </w:pPr>
      <w:r>
        <w:rPr>
          <w:rFonts w:cs="Arial" w:ascii="Arial" w:hAnsi="Arial"/>
          <w:sz w:val="20"/>
        </w:rPr>
      </w:r>
    </w:p>
    <w:p>
      <w:pPr>
        <w:pStyle w:val="Normal"/>
        <w:ind w:hanging="3960" w:start="4680" w:end="0"/>
        <w:rPr>
          <w:rFonts w:ascii="Arial" w:hAnsi="Arial" w:cs="Arial"/>
        </w:rPr>
      </w:pPr>
      <w:r>
        <w:rPr>
          <w:rFonts w:cs="Arial" w:ascii="Arial" w:hAnsi="Arial"/>
        </w:rPr>
        <w:t>Availability Penalty/Bonus</w:t>
        <w:tab/>
        <w:t>Penalty or Bonus will be calculated based on the “Seasonal Availability” for each season.</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Seasonal Availability Percentage (SAP) = (MWH scheduled and delivered to the Delivery Point)/(MWH scheduled from the Facility) </w:t>
      </w:r>
    </w:p>
    <w:p>
      <w:pPr>
        <w:pStyle w:val="Normal"/>
        <w:ind w:start="720" w:end="0"/>
        <w:rPr>
          <w:rFonts w:ascii="Arial" w:hAnsi="Arial" w:cs="Arial"/>
          <w:i/>
          <w:i/>
        </w:rPr>
      </w:pPr>
      <w:r>
        <w:rPr>
          <w:rFonts w:cs="Arial" w:ascii="Arial" w:hAnsi="Arial"/>
          <w:i/>
        </w:rPr>
      </w:r>
    </w:p>
    <w:p>
      <w:pPr>
        <w:pStyle w:val="Normal"/>
        <w:ind w:hanging="3960" w:start="4680" w:end="0"/>
        <w:rPr>
          <w:rFonts w:ascii="Arial" w:hAnsi="Arial" w:cs="Arial"/>
        </w:rPr>
      </w:pPr>
      <w:r>
        <w:rPr>
          <w:rFonts w:cs="Arial" w:ascii="Arial" w:hAnsi="Arial"/>
        </w:rPr>
        <w:t>Seasonal Capacity Pricing</w:t>
        <w:tab/>
        <w:t>The seasonal periods, along with their respective weighting of the total annual capacity payment, are as follows:</w:t>
      </w:r>
    </w:p>
    <w:p>
      <w:pPr>
        <w:pStyle w:val="Normal"/>
        <w:ind w:start="720" w:end="0"/>
        <w:rPr>
          <w:rFonts w:ascii="Arial" w:hAnsi="Arial" w:cs="Arial"/>
        </w:rPr>
      </w:pPr>
      <w:r>
        <w:rPr>
          <w:rFonts w:cs="Arial" w:ascii="Arial" w:hAnsi="Arial"/>
        </w:rPr>
      </w:r>
    </w:p>
    <w:p>
      <w:pPr>
        <w:pStyle w:val="Normal"/>
        <w:ind w:firstLine="540" w:start="720" w:end="0"/>
        <w:rPr>
          <w:rFonts w:ascii="Arial" w:hAnsi="Arial" w:cs="Arial"/>
        </w:rPr>
      </w:pPr>
      <w:r>
        <w:rPr>
          <w:rFonts w:cs="Arial" w:ascii="Arial" w:hAnsi="Arial"/>
        </w:rPr>
        <w:t>For Peaking Resources:</w:t>
        <w:tab/>
        <w:tab/>
        <w:tab/>
        <w:t>Jan. – Feb. – 7%</w:t>
      </w:r>
    </w:p>
    <w:p>
      <w:pPr>
        <w:pStyle w:val="Normal"/>
        <w:ind w:start="720" w:end="0"/>
        <w:rPr>
          <w:rFonts w:ascii="Arial" w:hAnsi="Arial" w:cs="Arial"/>
        </w:rPr>
      </w:pPr>
      <w:r>
        <w:rPr>
          <w:rFonts w:cs="Arial" w:ascii="Arial" w:hAnsi="Arial"/>
        </w:rPr>
        <w:tab/>
        <w:tab/>
        <w:tab/>
        <w:tab/>
        <w:tab/>
        <w:tab/>
        <w:t>March – May – 5%</w:t>
      </w:r>
    </w:p>
    <w:p>
      <w:pPr>
        <w:pStyle w:val="Normal"/>
        <w:ind w:start="720" w:end="0"/>
        <w:rPr>
          <w:rFonts w:ascii="Arial" w:hAnsi="Arial" w:cs="Arial"/>
        </w:rPr>
      </w:pPr>
      <w:r>
        <w:rPr>
          <w:rFonts w:cs="Arial" w:ascii="Arial" w:hAnsi="Arial"/>
        </w:rPr>
        <w:tab/>
        <w:tab/>
        <w:tab/>
        <w:tab/>
        <w:tab/>
        <w:tab/>
        <w:t>June – Sept. – 85%</w:t>
      </w:r>
    </w:p>
    <w:p>
      <w:pPr>
        <w:pStyle w:val="Normal"/>
        <w:ind w:start="720" w:end="0"/>
        <w:rPr>
          <w:rFonts w:ascii="Arial" w:hAnsi="Arial" w:cs="Arial"/>
        </w:rPr>
      </w:pPr>
      <w:r>
        <w:rPr>
          <w:rFonts w:cs="Arial" w:ascii="Arial" w:hAnsi="Arial"/>
        </w:rPr>
        <w:tab/>
        <w:tab/>
        <w:tab/>
        <w:tab/>
        <w:tab/>
        <w:tab/>
        <w:t>Oct. – Dec. – 3%</w:t>
      </w:r>
    </w:p>
    <w:p>
      <w:pPr>
        <w:pStyle w:val="Normal"/>
        <w:ind w:firstLine="540" w:start="720" w:end="0"/>
        <w:rPr>
          <w:rFonts w:ascii="Arial" w:hAnsi="Arial" w:cs="Arial"/>
        </w:rPr>
      </w:pPr>
      <w:r>
        <w:rPr>
          <w:rFonts w:cs="Arial" w:ascii="Arial" w:hAnsi="Arial"/>
        </w:rPr>
      </w:r>
    </w:p>
    <w:p>
      <w:pPr>
        <w:pStyle w:val="Normal"/>
        <w:ind w:hanging="3780" w:start="5040" w:end="0"/>
        <w:rPr>
          <w:rFonts w:ascii="Arial" w:hAnsi="Arial" w:cs="Arial"/>
        </w:rPr>
      </w:pPr>
      <w:r>
        <w:rPr>
          <w:rFonts w:cs="Arial" w:ascii="Arial" w:hAnsi="Arial"/>
        </w:rPr>
        <w:t>For Non-peaking Resources:</w:t>
        <w:tab/>
        <w:t xml:space="preserve">Seasonal weightings will be negotiated. </w:t>
      </w:r>
    </w:p>
    <w:p>
      <w:pPr>
        <w:pStyle w:val="Normal"/>
        <w:ind w:hanging="3960" w:start="4680" w:end="0"/>
        <w:rPr>
          <w:rFonts w:ascii="Arial" w:hAnsi="Arial" w:cs="Arial"/>
        </w:rPr>
      </w:pPr>
      <w:r>
        <w:rPr>
          <w:rFonts w:cs="Arial" w:ascii="Arial" w:hAnsi="Arial"/>
        </w:rPr>
      </w:r>
    </w:p>
    <w:p>
      <w:pPr>
        <w:pStyle w:val="Normal"/>
        <w:ind w:start="720" w:end="0"/>
        <w:rPr>
          <w:rFonts w:ascii="Arial" w:hAnsi="Arial" w:cs="Arial"/>
          <w:i/>
          <w:i/>
        </w:rPr>
      </w:pPr>
      <w:r>
        <w:rPr>
          <w:rFonts w:cs="Arial" w:ascii="Arial" w:hAnsi="Arial"/>
          <w:i/>
        </w:rPr>
      </w:r>
    </w:p>
    <w:p>
      <w:pPr>
        <w:pStyle w:val="Normal"/>
        <w:ind w:hanging="3960" w:start="4680" w:end="0"/>
        <w:rPr>
          <w:rFonts w:ascii="Arial" w:hAnsi="Arial" w:cs="Arial"/>
        </w:rPr>
      </w:pPr>
      <w:r>
        <w:rPr>
          <w:rFonts w:cs="Arial" w:ascii="Arial" w:hAnsi="Arial"/>
        </w:rPr>
        <w:t>Pricing Adjustments</w:t>
        <w:tab/>
        <w:t xml:space="preserve">Variations in SAP above and below the target range of 96.0%  to 97.0% will be recognized under the procedure set forth below:  </w:t>
      </w:r>
    </w:p>
    <w:p>
      <w:pPr>
        <w:pStyle w:val="Normal"/>
        <w:ind w:hanging="3960" w:start="4680" w:end="0"/>
        <w:rPr>
          <w:rFonts w:ascii="Arial" w:hAnsi="Arial" w:cs="Arial"/>
        </w:rPr>
      </w:pPr>
      <w:r>
        <w:rPr>
          <w:rFonts w:cs="Arial" w:ascii="Arial" w:hAnsi="Arial"/>
        </w:rPr>
        <w:tab/>
      </w:r>
    </w:p>
    <w:p>
      <w:pPr>
        <w:pStyle w:val="Normal"/>
        <w:ind w:start="4680" w:end="0"/>
        <w:rPr>
          <w:rFonts w:ascii="Arial" w:hAnsi="Arial" w:cs="Arial"/>
        </w:rPr>
      </w:pPr>
      <w:r>
        <w:rPr>
          <w:rFonts w:cs="Arial" w:ascii="Arial" w:hAnsi="Arial"/>
        </w:rPr>
        <w:t xml:space="preserve">Ramping energy shall not be included in the Availability Calculation. </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 xml:space="preserve">If the Facility’s SAP is greater than or equal to 96.0%, but less than 97.0%, the Seller will receive the full capacity payment, as weighted for the applicable season.  </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 xml:space="preserve">In the event the Facility’s SAP is less than 96.0% but at least 60.0%, the weighted capacity payment for the season in which the availability shortfall occurs shall be reduced by a factor of 1.5% for each 1% of shortfall.  If the Facility’s SAP is less than 60.0% there will be no capacity payments for that season.  </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 xml:space="preserve">In the event a Facility’s SAP during the June-September season is equal to or exceeds 97.0%, the following table shall apply to the weighted capacity payment for that season:  </w:t>
      </w:r>
    </w:p>
    <w:p>
      <w:pPr>
        <w:pStyle w:val="Normal"/>
        <w:ind w:start="720" w:end="0"/>
        <w:rPr>
          <w:rFonts w:ascii="Arial" w:hAnsi="Arial" w:cs="Arial"/>
        </w:rPr>
      </w:pPr>
      <w:r>
        <w:rPr>
          <w:rFonts w:cs="Arial" w:ascii="Arial" w:hAnsi="Arial"/>
        </w:rPr>
      </w:r>
    </w:p>
    <w:p>
      <w:pPr>
        <w:pStyle w:val="Normal"/>
        <w:ind w:start="1440" w:end="0"/>
        <w:rPr/>
      </w:pPr>
      <w:r>
        <w:rPr>
          <w:rFonts w:cs="Arial" w:ascii="Arial" w:hAnsi="Arial"/>
          <w:u w:val="single"/>
        </w:rPr>
        <w:t>SAP</w:t>
      </w:r>
      <w:r>
        <w:rPr>
          <w:rFonts w:cs="Arial" w:ascii="Arial" w:hAnsi="Arial"/>
          <w:b/>
        </w:rPr>
        <w:tab/>
        <w:tab/>
        <w:tab/>
        <w:tab/>
        <w:tab/>
      </w:r>
      <w:r>
        <w:rPr>
          <w:rFonts w:cs="Arial" w:ascii="Arial" w:hAnsi="Arial"/>
          <w:u w:val="single"/>
        </w:rPr>
        <w:t>Weighted  Capacity Payment Adjustment</w:t>
      </w:r>
    </w:p>
    <w:p>
      <w:pPr>
        <w:pStyle w:val="Normal"/>
        <w:ind w:start="1440" w:end="0"/>
        <w:rPr>
          <w:rFonts w:ascii="Arial" w:hAnsi="Arial" w:cs="Arial"/>
        </w:rPr>
      </w:pPr>
      <w:r>
        <w:rPr>
          <w:rFonts w:cs="Arial" w:ascii="Arial" w:hAnsi="Arial"/>
        </w:rPr>
        <w:t>100.0% to 99.0%, inclusive</w:t>
        <w:tab/>
        <w:tab/>
        <w:tab/>
        <w:tab/>
        <w:tab/>
        <w:t>104.0%</w:t>
      </w:r>
    </w:p>
    <w:p>
      <w:pPr>
        <w:pStyle w:val="Footer"/>
        <w:tabs>
          <w:tab w:val="clear" w:pos="4320"/>
          <w:tab w:val="clear" w:pos="8640"/>
        </w:tabs>
        <w:ind w:start="1440" w:end="0"/>
        <w:rPr>
          <w:rFonts w:ascii="Arial" w:hAnsi="Arial" w:cs="Arial"/>
        </w:rPr>
      </w:pPr>
      <w:r>
        <w:rPr>
          <w:rFonts w:cs="Arial" w:ascii="Arial" w:hAnsi="Arial"/>
        </w:rPr>
        <w:t>Less than 99.0% but at least 98.0%</w:t>
        <w:tab/>
        <w:tab/>
        <w:tab/>
        <w:tab/>
        <w:t>103.0%</w:t>
      </w:r>
    </w:p>
    <w:p>
      <w:pPr>
        <w:pStyle w:val="Footer"/>
        <w:tabs>
          <w:tab w:val="clear" w:pos="4320"/>
          <w:tab w:val="clear" w:pos="8640"/>
        </w:tabs>
        <w:ind w:start="1440" w:end="0"/>
        <w:rPr>
          <w:rFonts w:ascii="Arial" w:hAnsi="Arial" w:cs="Arial"/>
        </w:rPr>
      </w:pPr>
      <w:r>
        <w:rPr>
          <w:rFonts w:cs="Arial" w:ascii="Arial" w:hAnsi="Arial"/>
        </w:rPr>
        <w:t>Less than 98.0% but at least 97.0%</w:t>
        <w:tab/>
        <w:tab/>
        <w:tab/>
        <w:tab/>
        <w:t>101.5%</w:t>
      </w:r>
    </w:p>
    <w:p>
      <w:pPr>
        <w:pStyle w:val="Normal"/>
        <w:ind w:start="72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Weighted capacity payments for seasons other than June-September are not subject to upward adjustment.</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Bidders should develop their capacity pricing to conform to this SAP table (i.e., Bidders should contemplate receiving 100% of their capacity price for SAP’s between 96.0% and 97.0%).</w:t>
      </w:r>
    </w:p>
    <w:p>
      <w:pPr>
        <w:pStyle w:val="Normal"/>
        <w:ind w:start="4680" w:end="0"/>
        <w:rPr>
          <w:rFonts w:ascii="Arial" w:hAnsi="Arial" w:cs="Arial"/>
        </w:rPr>
      </w:pPr>
      <w:r>
        <w:rPr>
          <w:rFonts w:cs="Arial" w:ascii="Arial" w:hAnsi="Arial"/>
        </w:rPr>
      </w:r>
    </w:p>
    <w:p>
      <w:pPr>
        <w:pStyle w:val="Normal"/>
        <w:ind w:hanging="3960" w:start="4680" w:end="0"/>
        <w:rPr/>
      </w:pPr>
      <w:r>
        <w:rPr>
          <w:rFonts w:cs="Arial" w:ascii="Arial" w:hAnsi="Arial"/>
        </w:rPr>
        <w:t>Alternate Delivery</w:t>
      </w:r>
      <w:r>
        <w:rPr>
          <w:rFonts w:cs="Arial" w:ascii="Arial" w:hAnsi="Arial"/>
          <w:b/>
        </w:rPr>
        <w:tab/>
      </w:r>
      <w:r>
        <w:rPr>
          <w:rFonts w:cs="Arial" w:ascii="Arial" w:hAnsi="Arial"/>
        </w:rPr>
        <w:t>Seller should specify whether and under what circumstances alternate supply arrangements would be utilized in the event of failure of the Seller’s primary resource. To the extent such alternate arrangements are contemplated, those having less transmission risk (and in particular those not dependent on the availability of interface capability) will be ascribed greater value.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rFonts w:ascii="Arial" w:hAnsi="Arial" w:cs="Arial"/>
          <w:sz w:val="20"/>
        </w:rPr>
      </w:pPr>
      <w:r>
        <w:rPr>
          <w:rFonts w:cs="Arial" w:ascii="Arial" w:hAnsi="Arial"/>
          <w:sz w:val="20"/>
        </w:rPr>
        <w:t>Contract Unit Operating Characteristics</w:t>
      </w:r>
    </w:p>
    <w:p>
      <w:pPr>
        <w:pStyle w:val="Normal"/>
        <w:rPr>
          <w:rFonts w:ascii="Arial" w:hAnsi="Arial" w:cs="Arial"/>
          <w:sz w:val="20"/>
        </w:rPr>
      </w:pPr>
      <w:r>
        <w:rPr>
          <w:rFonts w:cs="Arial" w:ascii="Arial" w:hAnsi="Arial"/>
          <w:sz w:val="20"/>
        </w:rPr>
      </w:r>
    </w:p>
    <w:p>
      <w:pPr>
        <w:pStyle w:val="Footer"/>
        <w:tabs>
          <w:tab w:val="clear" w:pos="4320"/>
          <w:tab w:val="clear" w:pos="8640"/>
        </w:tabs>
        <w:rPr>
          <w:rFonts w:ascii="Arial" w:hAnsi="Arial" w:cs="Arial"/>
        </w:rPr>
      </w:pPr>
      <w:r>
        <w:rPr>
          <w:rFonts w:cs="Arial" w:ascii="Arial" w:hAnsi="Arial"/>
        </w:rPr>
      </w:r>
    </w:p>
    <w:p>
      <w:pPr>
        <w:pStyle w:val="Normal"/>
        <w:ind w:hanging="3960" w:start="4680" w:end="0"/>
        <w:rPr/>
      </w:pPr>
      <w:r>
        <w:rPr>
          <w:rFonts w:cs="Arial" w:ascii="Arial" w:hAnsi="Arial"/>
        </w:rPr>
        <w:t>Contract Heat Rate</w:t>
        <w:tab/>
        <w:t xml:space="preserve">Seasonal </w:t>
      </w:r>
      <w:r>
        <w:rPr>
          <w:rFonts w:cs="Arial" w:ascii="Arial" w:hAnsi="Arial"/>
          <w:vertAlign w:val="superscript"/>
        </w:rPr>
        <w:t>(1)</w:t>
      </w:r>
      <w:r>
        <w:rPr>
          <w:rFonts w:cs="Arial" w:ascii="Arial" w:hAnsi="Arial"/>
        </w:rPr>
        <w:t xml:space="preserve"> heat rates are calculated according to the seasonal curves (or values) supplied by Seller in Attachment A.</w:t>
      </w:r>
    </w:p>
    <w:p>
      <w:pPr>
        <w:pStyle w:val="Normal"/>
        <w:ind w:hanging="5040" w:start="5760" w:end="0"/>
        <w:rPr>
          <w:rFonts w:ascii="Arial" w:hAnsi="Arial" w:cs="Arial"/>
        </w:rPr>
      </w:pPr>
      <w:r>
        <w:rPr>
          <w:rFonts w:cs="Arial" w:ascii="Arial" w:hAnsi="Arial"/>
        </w:rPr>
      </w:r>
    </w:p>
    <w:p>
      <w:pPr>
        <w:pStyle w:val="Heading3"/>
        <w:ind w:hanging="0" w:start="0"/>
        <w:rPr>
          <w:rFonts w:ascii="Arial" w:hAnsi="Arial" w:cs="Arial"/>
          <w:sz w:val="20"/>
        </w:rPr>
      </w:pPr>
      <w:r>
        <w:rPr>
          <w:rFonts w:cs="Arial" w:ascii="Arial" w:hAnsi="Arial"/>
          <w:sz w:val="20"/>
        </w:rPr>
        <w:t>Scheduling Requirements</w:t>
      </w:r>
    </w:p>
    <w:p>
      <w:pPr>
        <w:pStyle w:val="Normal"/>
        <w:rPr>
          <w:rFonts w:ascii="Arial" w:hAnsi="Arial" w:cs="Arial"/>
          <w:sz w:val="20"/>
        </w:rPr>
      </w:pPr>
      <w:r>
        <w:rPr>
          <w:rFonts w:cs="Arial" w:ascii="Arial" w:hAnsi="Arial"/>
          <w:sz w:val="20"/>
        </w:rPr>
      </w:r>
    </w:p>
    <w:p>
      <w:pPr>
        <w:pStyle w:val="Footer"/>
        <w:tabs>
          <w:tab w:val="clear" w:pos="4320"/>
          <w:tab w:val="clear" w:pos="8640"/>
        </w:tabs>
        <w:ind w:hanging="3960" w:start="4680" w:end="0"/>
        <w:rPr>
          <w:rFonts w:ascii="Arial" w:hAnsi="Arial" w:cs="Arial"/>
        </w:rPr>
      </w:pPr>
      <w:r>
        <w:rPr>
          <w:rFonts w:cs="Arial" w:ascii="Arial" w:hAnsi="Arial"/>
        </w:rPr>
        <w:t xml:space="preserve">Tentative Schedule </w:t>
        <w:tab/>
        <w:t>10:00 a.m. CPT of prior day</w:t>
      </w:r>
    </w:p>
    <w:p>
      <w:pPr>
        <w:pStyle w:val="BodyText"/>
        <w:ind w:hanging="3960" w:start="4680" w:end="-810"/>
        <w:rPr>
          <w:rFonts w:ascii="Arial" w:hAnsi="Arial" w:cs="Arial"/>
          <w:sz w:val="20"/>
        </w:rPr>
      </w:pPr>
      <w:r>
        <w:rPr>
          <w:rFonts w:cs="Arial" w:ascii="Arial" w:hAnsi="Arial"/>
          <w:sz w:val="20"/>
        </w:rPr>
      </w:r>
    </w:p>
    <w:p>
      <w:pPr>
        <w:pStyle w:val="BodyText"/>
        <w:ind w:hanging="3960" w:start="4680" w:end="-810"/>
        <w:rPr>
          <w:rFonts w:ascii="Arial" w:hAnsi="Arial" w:cs="Arial"/>
          <w:sz w:val="20"/>
        </w:rPr>
      </w:pPr>
      <w:r>
        <w:rPr>
          <w:rFonts w:cs="Arial" w:ascii="Arial" w:hAnsi="Arial"/>
          <w:sz w:val="20"/>
        </w:rPr>
        <w:t>Schedule Changes</w:t>
        <w:tab/>
        <w:t xml:space="preserve">On an intraday basis, Buyer has the right to change the tentative schedule at any time subject to the limitations (if any) under Manufacturer’s warranty. Buyer will reimburse Seller for any additional costs associated with making such changes. </w:t>
      </w:r>
    </w:p>
    <w:p>
      <w:pPr>
        <w:pStyle w:val="BodyText"/>
        <w:ind w:hanging="3960" w:start="4680" w:end="-810"/>
        <w:rPr>
          <w:rFonts w:ascii="Arial" w:hAnsi="Arial" w:cs="Arial"/>
          <w:sz w:val="20"/>
        </w:rPr>
      </w:pPr>
      <w:r>
        <w:rPr>
          <w:rFonts w:cs="Arial" w:ascii="Arial" w:hAnsi="Arial"/>
          <w:sz w:val="20"/>
        </w:rPr>
      </w:r>
    </w:p>
    <w:p>
      <w:pPr>
        <w:pStyle w:val="BodyText"/>
        <w:ind w:hanging="3960" w:start="4680" w:end="-810"/>
        <w:rPr>
          <w:rFonts w:ascii="Arial" w:hAnsi="Arial" w:cs="Arial"/>
          <w:sz w:val="20"/>
        </w:rPr>
      </w:pPr>
      <w:r>
        <w:rPr>
          <w:rFonts w:cs="Arial" w:ascii="Arial" w:hAnsi="Arial"/>
          <w:sz w:val="20"/>
        </w:rPr>
        <w:t>Scheduled Maintenance</w:t>
        <w:tab/>
        <w:t xml:space="preserve">Buyer will not schedule the Facility when it is off line due to scheduled maintenance or other approved unscheduled maintenance.  </w:t>
      </w:r>
    </w:p>
    <w:p>
      <w:pPr>
        <w:pStyle w:val="BodyText"/>
        <w:ind w:hanging="3960" w:start="4680" w:end="-810"/>
        <w:rPr>
          <w:rFonts w:ascii="Arial" w:hAnsi="Arial" w:cs="Arial"/>
          <w:sz w:val="20"/>
        </w:rPr>
      </w:pPr>
      <w:r>
        <w:rPr>
          <w:rFonts w:cs="Arial" w:ascii="Arial" w:hAnsi="Arial"/>
          <w:sz w:val="20"/>
        </w:rPr>
      </w:r>
    </w:p>
    <w:p>
      <w:pPr>
        <w:pStyle w:val="BodyText"/>
        <w:ind w:hanging="3960" w:start="4680" w:end="-810"/>
        <w:rPr>
          <w:rFonts w:ascii="Arial" w:hAnsi="Arial" w:cs="Arial"/>
          <w:sz w:val="20"/>
        </w:rPr>
      </w:pPr>
      <w:r>
        <w:rPr>
          <w:rFonts w:cs="Arial" w:ascii="Arial" w:hAnsi="Arial"/>
          <w:sz w:val="20"/>
        </w:rPr>
        <w:t>Scheduling Limits</w:t>
        <w:tab/>
        <w:t>Buyer may submit schedule for energy between unit operating minimum and unit operating maximum subject to prudent utility practices, and environmental constraints.</w:t>
      </w:r>
    </w:p>
    <w:p>
      <w:pPr>
        <w:pStyle w:val="BodyText"/>
        <w:ind w:hanging="3960" w:start="4680" w:end="-810"/>
        <w:rPr>
          <w:rFonts w:ascii="Arial" w:hAnsi="Arial" w:cs="Arial"/>
          <w:sz w:val="20"/>
        </w:rPr>
      </w:pPr>
      <w:r>
        <w:rPr>
          <w:rFonts w:cs="Arial" w:ascii="Arial" w:hAnsi="Arial"/>
          <w:sz w:val="20"/>
        </w:rPr>
      </w:r>
    </w:p>
    <w:p>
      <w:pPr>
        <w:pStyle w:val="BodyText"/>
        <w:ind w:hanging="4680" w:start="4680" w:end="-810"/>
        <w:rPr/>
      </w:pPr>
      <w:r>
        <w:rPr>
          <w:rFonts w:cs="Arial" w:ascii="Arial" w:hAnsi="Arial"/>
          <w:b/>
          <w:sz w:val="20"/>
        </w:rPr>
        <w:t>Delivery Point</w:t>
        <w:tab/>
      </w:r>
      <w:r>
        <w:rPr>
          <w:rFonts w:cs="Arial" w:ascii="Arial" w:hAnsi="Arial"/>
          <w:sz w:val="20"/>
        </w:rPr>
        <w:t>Point of delivery to Buyer shall be determined by the Buyer through a transmission evaluation based on the location of the Facility.</w:t>
      </w:r>
    </w:p>
    <w:p>
      <w:pPr>
        <w:pStyle w:val="BodyText"/>
        <w:rPr>
          <w:rFonts w:ascii="Arial" w:hAnsi="Arial" w:cs="Arial"/>
          <w:b/>
          <w:sz w:val="20"/>
        </w:rPr>
      </w:pPr>
      <w:r>
        <w:rPr>
          <w:rFonts w:cs="Arial" w:ascii="Arial" w:hAnsi="Arial"/>
          <w:b/>
          <w:sz w:val="20"/>
        </w:rPr>
      </w:r>
    </w:p>
    <w:p>
      <w:pPr>
        <w:pStyle w:val="BodyText"/>
        <w:ind w:hanging="4680" w:start="4680" w:end="-810"/>
        <w:rPr/>
      </w:pPr>
      <w:r>
        <w:rPr>
          <w:rFonts w:cs="Arial" w:ascii="Arial" w:hAnsi="Arial"/>
          <w:b/>
          <w:sz w:val="20"/>
        </w:rPr>
        <w:t>Transmission Interconnection</w:t>
      </w:r>
      <w:r>
        <w:rPr>
          <w:rFonts w:cs="Arial" w:ascii="Arial" w:hAnsi="Arial"/>
          <w:sz w:val="20"/>
        </w:rPr>
        <w:tab/>
        <w:t xml:space="preserve">Seller shall be responsible for all costs and expenses (including overheads) incurred in connection with the design, construction, installation and maintenance of the Interconnection Facilities (refer to the </w:t>
      </w:r>
      <w:r>
        <w:rPr>
          <w:rFonts w:cs="Arial" w:ascii="Arial" w:hAnsi="Arial"/>
          <w:sz w:val="20"/>
          <w:u w:val="single"/>
        </w:rPr>
        <w:t>Transmission Information and Requirements</w:t>
      </w:r>
      <w:r>
        <w:rPr>
          <w:rFonts w:cs="Arial" w:ascii="Arial" w:hAnsi="Arial"/>
          <w:sz w:val="20"/>
        </w:rPr>
        <w:t xml:space="preserve"> section of the RFP for guidance to Bidders).</w:t>
      </w:r>
    </w:p>
    <w:p>
      <w:pPr>
        <w:pStyle w:val="BodyText"/>
        <w:ind w:hanging="4680" w:start="4680" w:end="-810"/>
        <w:rPr>
          <w:rFonts w:ascii="Arial" w:hAnsi="Arial" w:cs="Arial"/>
          <w:b/>
          <w:sz w:val="20"/>
        </w:rPr>
      </w:pPr>
      <w:r>
        <w:rPr>
          <w:rFonts w:cs="Arial" w:ascii="Arial" w:hAnsi="Arial"/>
          <w:b/>
          <w:sz w:val="20"/>
        </w:rPr>
      </w:r>
    </w:p>
    <w:p>
      <w:pPr>
        <w:pStyle w:val="BodyText"/>
        <w:ind w:start="4680" w:end="-810"/>
        <w:rPr>
          <w:rFonts w:ascii="Arial" w:hAnsi="Arial" w:cs="Arial"/>
          <w:sz w:val="20"/>
        </w:rPr>
      </w:pPr>
      <w:r>
        <w:rPr>
          <w:rFonts w:cs="Arial" w:ascii="Arial" w:hAnsi="Arial"/>
          <w:sz w:val="20"/>
        </w:rPr>
        <w:t>Seller shall obtain any and all necessary rights of way and easements, including adequate and continuing access rights on and across the Facility to install, operate, maintain, replace and/or remove the Interconnection Facilities located at the Facility.</w:t>
      </w:r>
    </w:p>
    <w:p>
      <w:pPr>
        <w:pStyle w:val="BodyText"/>
        <w:ind w:hanging="4680" w:start="4680" w:end="-810"/>
        <w:rPr>
          <w:rFonts w:ascii="Arial" w:hAnsi="Arial" w:cs="Arial"/>
          <w:sz w:val="20"/>
        </w:rPr>
      </w:pPr>
      <w:r>
        <w:rPr>
          <w:rFonts w:cs="Arial" w:ascii="Arial" w:hAnsi="Arial"/>
          <w:sz w:val="20"/>
        </w:rPr>
      </w:r>
    </w:p>
    <w:p>
      <w:pPr>
        <w:pStyle w:val="BodyText"/>
        <w:ind w:start="4680" w:end="-810"/>
        <w:rPr>
          <w:rFonts w:ascii="Arial" w:hAnsi="Arial" w:cs="Arial"/>
          <w:sz w:val="20"/>
        </w:rPr>
      </w:pPr>
      <w:r>
        <w:rPr>
          <w:rFonts w:cs="Arial" w:ascii="Arial" w:hAnsi="Arial"/>
          <w:sz w:val="20"/>
        </w:rPr>
        <w:t>Seller shall, at its own cost, provide, install and maintain internal breakers, meters, relays, switches, synchronizing equipment and other associated protective control equipment necessary to maintain the reliability, quality, and safety of the electric production of the Facility.</w:t>
      </w:r>
    </w:p>
    <w:p>
      <w:pPr>
        <w:pStyle w:val="BodyText"/>
        <w:ind w:start="4680" w:end="-810"/>
        <w:rPr>
          <w:rFonts w:ascii="Arial" w:hAnsi="Arial" w:cs="Arial"/>
          <w:sz w:val="20"/>
        </w:rPr>
      </w:pPr>
      <w:r>
        <w:rPr>
          <w:rFonts w:cs="Arial" w:ascii="Arial" w:hAnsi="Arial"/>
          <w:sz w:val="20"/>
        </w:rPr>
      </w:r>
    </w:p>
    <w:p>
      <w:pPr>
        <w:pStyle w:val="BodyText"/>
        <w:ind w:start="4680" w:end="-810"/>
        <w:rPr>
          <w:rFonts w:ascii="Arial" w:hAnsi="Arial" w:cs="Arial"/>
          <w:sz w:val="20"/>
        </w:rPr>
      </w:pPr>
      <w:r>
        <w:rPr>
          <w:rFonts w:cs="Arial" w:ascii="Arial" w:hAnsi="Arial"/>
          <w:sz w:val="20"/>
        </w:rPr>
        <w:t xml:space="preserve">Seller is responsible for determining all transmission-related rules, practices and policies with which it must comply.  </w:t>
      </w:r>
    </w:p>
    <w:p>
      <w:pPr>
        <w:pStyle w:val="BodyText"/>
        <w:ind w:hanging="5760" w:start="5760" w:end="-810"/>
        <w:rPr>
          <w:rFonts w:ascii="Arial" w:hAnsi="Arial" w:cs="Arial"/>
          <w:sz w:val="20"/>
        </w:rPr>
      </w:pPr>
      <w:r>
        <w:rPr>
          <w:rFonts w:cs="Arial" w:ascii="Arial" w:hAnsi="Arial"/>
          <w:sz w:val="20"/>
        </w:rPr>
      </w:r>
    </w:p>
    <w:p>
      <w:pPr>
        <w:pStyle w:val="BodyText"/>
        <w:ind w:hanging="4680" w:start="4680" w:end="-810"/>
        <w:rPr>
          <w:rFonts w:ascii="Arial" w:hAnsi="Arial" w:cs="Arial"/>
          <w:b/>
          <w:sz w:val="20"/>
        </w:rPr>
      </w:pPr>
      <w:r>
        <w:rPr>
          <w:rFonts w:cs="Arial" w:ascii="Arial" w:hAnsi="Arial"/>
          <w:b/>
          <w:sz w:val="20"/>
        </w:rPr>
        <w:t>Maintenance</w:t>
        <w:tab/>
      </w:r>
    </w:p>
    <w:p>
      <w:pPr>
        <w:pStyle w:val="BodyText"/>
        <w:ind w:hanging="4680" w:start="4680" w:end="-810"/>
        <w:rPr>
          <w:rFonts w:ascii="Arial" w:hAnsi="Arial" w:cs="Arial"/>
          <w:b/>
          <w:sz w:val="20"/>
        </w:rPr>
      </w:pPr>
      <w:r>
        <w:rPr>
          <w:rFonts w:cs="Arial" w:ascii="Arial" w:hAnsi="Arial"/>
          <w:b/>
          <w:sz w:val="20"/>
        </w:rPr>
      </w:r>
    </w:p>
    <w:p>
      <w:pPr>
        <w:pStyle w:val="BodyText"/>
        <w:ind w:hanging="3960" w:start="4680" w:end="-810"/>
        <w:rPr/>
      </w:pPr>
      <w:r>
        <w:rPr>
          <w:rFonts w:cs="Arial" w:ascii="Arial" w:hAnsi="Arial"/>
          <w:sz w:val="20"/>
        </w:rPr>
        <w:t>Scheduled Maintenance</w:t>
      </w:r>
      <w:r>
        <w:rPr>
          <w:rFonts w:cs="Arial" w:ascii="Arial" w:hAnsi="Arial"/>
          <w:b/>
          <w:sz w:val="20"/>
        </w:rPr>
        <w:tab/>
      </w:r>
      <w:r>
        <w:rPr>
          <w:rFonts w:cs="Arial" w:ascii="Arial" w:hAnsi="Arial"/>
          <w:sz w:val="20"/>
        </w:rPr>
        <w:t>Seller will follow prudent utility practice with regard to maintenance of the Facility.  Scheduled maintenance of reasonable duration will be performed at mutually agreeable times; provided, however, that such maintenance will not be scheduled during the June-September seasonal period.</w:t>
      </w:r>
    </w:p>
    <w:p>
      <w:pPr>
        <w:pStyle w:val="BodyText"/>
        <w:ind w:hanging="3960" w:start="4680" w:end="-810"/>
        <w:rPr>
          <w:rFonts w:ascii="Arial" w:hAnsi="Arial" w:cs="Arial"/>
          <w:sz w:val="20"/>
        </w:rPr>
      </w:pPr>
      <w:r>
        <w:rPr>
          <w:rFonts w:cs="Arial" w:ascii="Arial" w:hAnsi="Arial"/>
          <w:sz w:val="20"/>
        </w:rPr>
      </w:r>
    </w:p>
    <w:p>
      <w:pPr>
        <w:pStyle w:val="BodyText"/>
        <w:ind w:hanging="3960" w:start="4680" w:end="-810"/>
        <w:rPr>
          <w:rFonts w:ascii="Arial" w:hAnsi="Arial" w:cs="Arial"/>
          <w:sz w:val="20"/>
        </w:rPr>
      </w:pPr>
      <w:r>
        <w:rPr>
          <w:rFonts w:cs="Arial" w:ascii="Arial" w:hAnsi="Arial"/>
          <w:sz w:val="20"/>
        </w:rPr>
        <w:t>Unscheduled Maintenance</w:t>
        <w:tab/>
        <w:t xml:space="preserve">Seller may perform unscheduled maintenance during summer, off-peak periods, subject to Buyers coordination and approval. Such approved unscheduled maintenance will not be counted in the SAP calculation.  </w:t>
      </w:r>
    </w:p>
    <w:p>
      <w:pPr>
        <w:pStyle w:val="BodyText"/>
        <w:ind w:hanging="5760" w:start="5760" w:end="-810"/>
        <w:rPr>
          <w:rFonts w:ascii="Arial" w:hAnsi="Arial" w:cs="Arial"/>
          <w:sz w:val="20"/>
        </w:rPr>
      </w:pPr>
      <w:r>
        <w:rPr>
          <w:rFonts w:cs="Arial" w:ascii="Arial" w:hAnsi="Arial"/>
          <w:sz w:val="20"/>
        </w:rPr>
      </w:r>
    </w:p>
    <w:p>
      <w:pPr>
        <w:pStyle w:val="BodyText"/>
        <w:ind w:hanging="4680" w:start="4680" w:end="-810"/>
        <w:rPr/>
      </w:pPr>
      <w:r>
        <w:rPr>
          <w:rFonts w:cs="Arial" w:ascii="Arial" w:hAnsi="Arial"/>
          <w:b/>
          <w:sz w:val="20"/>
        </w:rPr>
        <w:t>Environmental</w:t>
      </w:r>
      <w:r>
        <w:rPr>
          <w:rFonts w:cs="Arial" w:ascii="Arial" w:hAnsi="Arial"/>
          <w:sz w:val="20"/>
        </w:rPr>
        <w:tab/>
        <w:t>Seller should clearly state how the cost of purchasing emission allowances, offsets, or other related environmental costs will be handled in the PPA and whether any such costs will be passed through to the Buyer.</w:t>
      </w:r>
    </w:p>
    <w:p>
      <w:pPr>
        <w:pStyle w:val="BodyText"/>
        <w:rPr>
          <w:rFonts w:ascii="Arial" w:hAnsi="Arial" w:cs="Arial"/>
          <w:sz w:val="20"/>
        </w:rPr>
      </w:pPr>
      <w:r>
        <w:rPr>
          <w:rFonts w:cs="Arial" w:ascii="Arial" w:hAnsi="Arial"/>
          <w:sz w:val="20"/>
        </w:rPr>
      </w:r>
    </w:p>
    <w:p>
      <w:pPr>
        <w:pStyle w:val="Normal"/>
        <w:ind w:hanging="4680" w:start="4680" w:end="0"/>
        <w:jc w:val="both"/>
        <w:rPr/>
      </w:pPr>
      <w:r>
        <w:rPr>
          <w:rFonts w:cs="Arial" w:ascii="Arial" w:hAnsi="Arial"/>
          <w:b/>
        </w:rPr>
        <w:t>Force Majeure</w:t>
        <w:tab/>
      </w:r>
      <w:r>
        <w:rPr>
          <w:rFonts w:cs="Arial" w:ascii="Arial" w:hAnsi="Arial"/>
        </w:rPr>
        <w:t>In the event that either Party is rendered unable, either in whole or in part, by force majeure to carry out its obligations under this contract for the duration of the Force Majeure event, and provided affected Party gives notice of such force majeure as promptly as is practical after the occurrence, the obligations of both Parties under the PPA shall be suspended for the entire duration of the Force Majeure Event (i.e., Seller is not required to deliver and Buyer is not required to pay).</w:t>
      </w:r>
    </w:p>
    <w:p>
      <w:pPr>
        <w:pStyle w:val="Normal"/>
        <w:ind w:hanging="4680" w:start="4680" w:end="0"/>
        <w:jc w:val="both"/>
        <w:rPr>
          <w:rFonts w:ascii="Arial" w:hAnsi="Arial" w:cs="Arial"/>
          <w:b/>
        </w:rPr>
      </w:pPr>
      <w:r>
        <w:rPr>
          <w:rFonts w:cs="Arial" w:ascii="Arial" w:hAnsi="Arial"/>
          <w:b/>
        </w:rPr>
      </w:r>
    </w:p>
    <w:p>
      <w:pPr>
        <w:pStyle w:val="Normal"/>
        <w:ind w:start="4680" w:end="0"/>
        <w:jc w:val="both"/>
        <w:rPr>
          <w:rFonts w:ascii="Arial" w:hAnsi="Arial" w:cs="Arial"/>
        </w:rPr>
      </w:pPr>
      <w:r>
        <w:rPr>
          <w:rFonts w:cs="Arial" w:ascii="Arial" w:hAnsi="Arial"/>
        </w:rPr>
        <w:t xml:space="preserve">The term Force Majeure Event shall not include (i) the inability to meet a Legal Requirement or the change in a Legal Requirement, (ii) a site specific strike, walkout, lockout or other labor dispute, (iii) equipment failure, unless the equipment failure results directly from the Force Majeure Event, or (iv) changes in market conditions that affect the cost or availability of the Facility’s primary or secondary fuel supply or the cost of power from resources other than the Facility. </w:t>
      </w:r>
    </w:p>
    <w:p>
      <w:pPr>
        <w:pStyle w:val="Normal"/>
        <w:rPr>
          <w:rFonts w:ascii="Arial" w:hAnsi="Arial" w:cs="Arial"/>
          <w:b/>
        </w:rPr>
      </w:pPr>
      <w:r>
        <w:rPr>
          <w:rFonts w:cs="Arial" w:ascii="Arial" w:hAnsi="Arial"/>
          <w:b/>
        </w:rPr>
      </w:r>
    </w:p>
    <w:p>
      <w:pPr>
        <w:pStyle w:val="Normal"/>
        <w:ind w:hanging="4680" w:start="4680" w:end="0"/>
        <w:rPr/>
      </w:pPr>
      <w:r>
        <w:rPr>
          <w:rFonts w:cs="Arial" w:ascii="Arial" w:hAnsi="Arial"/>
          <w:b/>
        </w:rPr>
        <w:t>Performance Security</w:t>
        <w:tab/>
      </w:r>
      <w:r>
        <w:rPr>
          <w:rFonts w:cs="Arial" w:ascii="Arial" w:hAnsi="Arial"/>
        </w:rPr>
        <w:t>Seller shall deliver to Buyer a letter of credit (or other acceptable security) as performance security at execution of the agreement. Such performance security will be incrementally increased at project milestone dates and at the Required Commercial Operation Date will be established at $50/kW.</w:t>
      </w:r>
    </w:p>
    <w:p>
      <w:pPr>
        <w:pStyle w:val="Normal"/>
        <w:ind w:hanging="4680" w:start="4680" w:end="0"/>
        <w:rPr>
          <w:rFonts w:ascii="Arial" w:hAnsi="Arial" w:cs="Arial"/>
          <w:b/>
        </w:rPr>
      </w:pPr>
      <w:r>
        <w:rPr>
          <w:rFonts w:cs="Arial" w:ascii="Arial" w:hAnsi="Arial"/>
          <w:b/>
        </w:rPr>
      </w:r>
    </w:p>
    <w:p>
      <w:pPr>
        <w:pStyle w:val="Normal"/>
        <w:ind w:hanging="4680" w:start="4680" w:end="0"/>
        <w:rPr/>
      </w:pPr>
      <w:r>
        <w:rPr>
          <w:rFonts w:cs="Arial" w:ascii="Arial" w:hAnsi="Arial"/>
          <w:b/>
        </w:rPr>
        <w:t>Events of Default</w:t>
        <w:tab/>
      </w:r>
      <w:r>
        <w:rPr>
          <w:rFonts w:cs="Arial" w:ascii="Arial" w:hAnsi="Arial"/>
        </w:rPr>
        <w:t>Failure to provide an acceptable cure plan in the event that capacity degradation from the first year demonstrated capability is more than the normal manufacturer’s degradation curves during the contract term or the Seller fails to provide a capacity rating above a negotiated minimum level.</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A Seasonal Availability Percentage below 60% for three (3) consecutive seasons.</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The Seller fails to cause the Facility to achieve commercial operation within twelve (12) months of the RCOD.</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The Seller or APC commences or is subject to any proceeding, whether voluntary or involuntary, under applicable federal or state bankruptcy, insolvency, reorganization or other similar law.</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Except as provided above, failure by either Party to perform or observe any material obligation under the PPA within thirty (30) days after written notice thereof from the other Party.</w:t>
      </w:r>
    </w:p>
    <w:p>
      <w:pPr>
        <w:pStyle w:val="Normal"/>
        <w:ind w:start="4680" w:end="0"/>
        <w:rPr>
          <w:rFonts w:ascii="Arial" w:hAnsi="Arial" w:cs="Arial"/>
        </w:rPr>
      </w:pPr>
      <w:r>
        <w:rPr>
          <w:rFonts w:cs="Arial" w:ascii="Arial" w:hAnsi="Arial"/>
        </w:rPr>
      </w:r>
    </w:p>
    <w:p>
      <w:pPr>
        <w:pStyle w:val="BodyTextIndent3"/>
        <w:tabs>
          <w:tab w:val="clear" w:pos="5040"/>
        </w:tabs>
        <w:ind w:hanging="4680" w:start="4680" w:end="0"/>
        <w:rPr/>
      </w:pPr>
      <w:r>
        <w:rPr>
          <w:rFonts w:cs="Arial" w:ascii="Arial" w:hAnsi="Arial"/>
          <w:b/>
          <w:sz w:val="20"/>
        </w:rPr>
        <w:t>Default Remedies</w:t>
        <w:tab/>
      </w:r>
      <w:r>
        <w:rPr>
          <w:rFonts w:cs="Arial" w:ascii="Arial" w:hAnsi="Arial"/>
          <w:sz w:val="20"/>
        </w:rPr>
        <w:t>Upon an Event of Default, the non-defaulting party may at its discretion: (i) terminate this agreement; and/or (ii) proceed by appropriate proceedings to protect and enforce its rights and remedies, including specific performance of the defaulting Party’s obligations under this agreement.</w:t>
      </w:r>
    </w:p>
    <w:p>
      <w:pPr>
        <w:pStyle w:val="BodyTextIndent3"/>
        <w:tabs>
          <w:tab w:val="clear" w:pos="5040"/>
        </w:tabs>
        <w:ind w:hanging="4680" w:start="4680" w:end="0"/>
        <w:rPr>
          <w:rFonts w:ascii="Arial" w:hAnsi="Arial" w:cs="Arial"/>
          <w:sz w:val="20"/>
        </w:rPr>
      </w:pPr>
      <w:r>
        <w:rPr>
          <w:rFonts w:cs="Arial" w:ascii="Arial" w:hAnsi="Arial"/>
          <w:sz w:val="20"/>
        </w:rPr>
      </w:r>
    </w:p>
    <w:p>
      <w:pPr>
        <w:pStyle w:val="BodyTextIndent3"/>
        <w:tabs>
          <w:tab w:val="clear" w:pos="5040"/>
        </w:tabs>
        <w:ind w:hanging="4680" w:start="4680" w:end="0"/>
        <w:rPr>
          <w:rFonts w:ascii="Arial" w:hAnsi="Arial" w:cs="Arial"/>
          <w:sz w:val="20"/>
        </w:rPr>
      </w:pPr>
      <w:r>
        <w:rPr>
          <w:rFonts w:cs="Arial" w:ascii="Arial" w:hAnsi="Arial"/>
          <w:b/>
          <w:sz w:val="20"/>
        </w:rPr>
        <w:t>Regulatory Approvals</w:t>
        <w:tab/>
      </w:r>
    </w:p>
    <w:p>
      <w:pPr>
        <w:pStyle w:val="BodyTextIndent3"/>
        <w:tabs>
          <w:tab w:val="clear" w:pos="5040"/>
        </w:tabs>
        <w:ind w:hanging="0" w:start="720" w:end="0"/>
        <w:rPr>
          <w:rFonts w:ascii="Arial" w:hAnsi="Arial" w:cs="Arial"/>
          <w:b/>
          <w:sz w:val="20"/>
        </w:rPr>
      </w:pPr>
      <w:r>
        <w:rPr>
          <w:rFonts w:cs="Arial" w:ascii="Arial" w:hAnsi="Arial"/>
          <w:b/>
          <w:sz w:val="20"/>
        </w:rPr>
      </w:r>
    </w:p>
    <w:p>
      <w:pPr>
        <w:pStyle w:val="BodyTextIndent2"/>
        <w:tabs>
          <w:tab w:val="left" w:pos="990" w:leader="none"/>
          <w:tab w:val="left" w:pos="1260" w:leader="none"/>
          <w:tab w:val="left" w:pos="4860" w:leader="none"/>
          <w:tab w:val="left" w:pos="5040" w:leader="none"/>
        </w:tabs>
        <w:ind w:hanging="3960" w:start="4680" w:end="0"/>
        <w:rPr>
          <w:rFonts w:ascii="Arial" w:hAnsi="Arial" w:cs="Arial"/>
          <w:b/>
          <w:sz w:val="20"/>
        </w:rPr>
      </w:pPr>
      <w:r>
        <w:rPr>
          <w:rFonts w:cs="Arial" w:ascii="Arial" w:hAnsi="Arial"/>
          <w:sz w:val="20"/>
        </w:rPr>
        <w:t>State Approval</w:t>
        <w:tab/>
        <w:t xml:space="preserve">Initial APSC approval and acceptance of the PPA shall be a condition precedent to the parties obligations under the PPA. </w:t>
      </w:r>
    </w:p>
    <w:p>
      <w:pPr>
        <w:pStyle w:val="BodyTextIndent2"/>
        <w:tabs>
          <w:tab w:val="left" w:pos="990" w:leader="none"/>
          <w:tab w:val="left" w:pos="1260" w:leader="none"/>
          <w:tab w:val="left" w:pos="4860" w:leader="none"/>
          <w:tab w:val="left" w:pos="5040" w:leader="none"/>
        </w:tabs>
        <w:ind w:hanging="4680" w:start="4680" w:end="0"/>
        <w:rPr>
          <w:rFonts w:ascii="Arial" w:hAnsi="Arial" w:cs="Arial"/>
          <w:b/>
          <w:sz w:val="20"/>
        </w:rPr>
      </w:pPr>
      <w:r>
        <w:rPr>
          <w:rFonts w:cs="Arial" w:ascii="Arial" w:hAnsi="Arial"/>
          <w:b/>
          <w:sz w:val="20"/>
        </w:rPr>
      </w:r>
    </w:p>
    <w:p>
      <w:pPr>
        <w:pStyle w:val="BodyTextIndent2"/>
        <w:tabs>
          <w:tab w:val="left" w:pos="990" w:leader="none"/>
          <w:tab w:val="left" w:pos="1260" w:leader="none"/>
          <w:tab w:val="left" w:pos="4860" w:leader="none"/>
          <w:tab w:val="left" w:pos="5040" w:leader="none"/>
        </w:tabs>
        <w:ind w:hanging="3960" w:start="4680" w:end="0"/>
        <w:rPr>
          <w:rFonts w:ascii="Arial" w:hAnsi="Arial" w:cs="Arial"/>
          <w:b/>
          <w:sz w:val="20"/>
        </w:rPr>
      </w:pPr>
      <w:r>
        <w:rPr>
          <w:sz w:val="20"/>
        </w:rPr>
        <w:t>FERC Approval</w:t>
      </w:r>
      <w:r>
        <w:rPr>
          <w:rFonts w:cs="Arial" w:ascii="Arial" w:hAnsi="Arial"/>
        </w:rPr>
        <w:tab/>
      </w:r>
      <w:r>
        <w:rPr>
          <w:rFonts w:cs="Arial" w:ascii="Arial" w:hAnsi="Arial"/>
          <w:sz w:val="20"/>
        </w:rPr>
        <w:t xml:space="preserve">If required, FERC approval and acceptance of the PPA shall be a condition precedent to the parties obligations under the PPA. </w:t>
      </w:r>
    </w:p>
    <w:p>
      <w:pPr>
        <w:pStyle w:val="Normal"/>
        <w:ind w:hanging="4680" w:start="4680" w:end="0"/>
        <w:rPr>
          <w:rFonts w:ascii="Arial" w:hAnsi="Arial" w:cs="Arial"/>
          <w:b/>
          <w:sz w:val="20"/>
        </w:rPr>
      </w:pPr>
      <w:r>
        <w:rPr>
          <w:rFonts w:cs="Arial" w:ascii="Arial" w:hAnsi="Arial"/>
          <w:b/>
          <w:sz w:val="20"/>
        </w:rPr>
      </w:r>
    </w:p>
    <w:p>
      <w:pPr>
        <w:pStyle w:val="Normal"/>
        <w:ind w:hanging="4680" w:start="4680" w:end="0"/>
        <w:rPr/>
      </w:pPr>
      <w:r>
        <w:rPr>
          <w:rFonts w:cs="Arial" w:ascii="Arial" w:hAnsi="Arial"/>
          <w:b/>
        </w:rPr>
        <w:t>Change in Law</w:t>
      </w:r>
      <w:r>
        <w:rPr>
          <w:rFonts w:cs="Arial" w:ascii="Arial" w:hAnsi="Arial"/>
        </w:rPr>
        <w:t xml:space="preserve"> </w:t>
        <w:tab/>
        <w:t>A “Change of Law” means a change in legal requirement that constitutes a new environmental or tax law or regulation or a new interpretation of such law or regulation, which is enacted after the date the PPA is executed, and which generally affects the cost of electrical generation.</w:t>
      </w:r>
    </w:p>
    <w:p>
      <w:pPr>
        <w:pStyle w:val="Normal"/>
        <w:ind w:start="4680" w:end="0"/>
        <w:rPr>
          <w:rFonts w:ascii="Arial" w:hAnsi="Arial" w:cs="Arial"/>
        </w:rPr>
      </w:pPr>
      <w:r>
        <w:rPr>
          <w:rFonts w:cs="Arial" w:ascii="Arial" w:hAnsi="Arial"/>
        </w:rPr>
      </w:r>
    </w:p>
    <w:p>
      <w:pPr>
        <w:pStyle w:val="Normal"/>
        <w:ind w:start="4680" w:end="0"/>
        <w:rPr>
          <w:rFonts w:ascii="Arial" w:hAnsi="Arial" w:cs="Arial"/>
        </w:rPr>
      </w:pPr>
      <w:r>
        <w:rPr>
          <w:rFonts w:cs="Arial" w:ascii="Arial" w:hAnsi="Arial"/>
        </w:rPr>
        <w:t>Any legal or regulatory mandate or other associated change in law as stated above that results in increased costs (above a negotiated threshold) will be passed through to the Buyer, subject to regulatory approval. If regulatory approval is not granted, Buyer or Seller may terminate the agreement by giving at least twelve (12) months prior written notice.</w:t>
      </w:r>
    </w:p>
    <w:p>
      <w:pPr>
        <w:pStyle w:val="Normal"/>
        <w:rPr>
          <w:rFonts w:ascii="Arial" w:hAnsi="Arial" w:cs="Arial"/>
          <w:b/>
        </w:rPr>
      </w:pPr>
      <w:r>
        <w:rPr>
          <w:rFonts w:cs="Arial" w:ascii="Arial" w:hAnsi="Arial"/>
          <w:b/>
        </w:rPr>
      </w:r>
    </w:p>
    <w:p>
      <w:pPr>
        <w:pStyle w:val="BodyTextIndent2"/>
        <w:tabs>
          <w:tab w:val="left" w:pos="990" w:leader="none"/>
          <w:tab w:val="left" w:pos="1260" w:leader="none"/>
          <w:tab w:val="left" w:pos="4860" w:leader="none"/>
          <w:tab w:val="left" w:pos="5040" w:leader="none"/>
        </w:tabs>
        <w:ind w:hanging="4680" w:start="4680" w:end="0"/>
        <w:rPr/>
      </w:pPr>
      <w:r>
        <w:rPr>
          <w:rFonts w:cs="Arial" w:ascii="Arial" w:hAnsi="Arial"/>
          <w:b/>
          <w:sz w:val="20"/>
        </w:rPr>
        <w:t>Assignment and Transfers of Interests</w:t>
      </w:r>
      <w:r>
        <w:rPr>
          <w:rFonts w:cs="Arial" w:ascii="Arial" w:hAnsi="Arial"/>
          <w:sz w:val="20"/>
        </w:rPr>
        <w:tab/>
        <w:t>Bilateral assignment rights subject to reasonable limitations.</w:t>
      </w:r>
    </w:p>
    <w:p>
      <w:pPr>
        <w:pStyle w:val="BodyTextIndent3"/>
        <w:tabs>
          <w:tab w:val="clear" w:pos="5040"/>
        </w:tabs>
        <w:ind w:hanging="3960" w:start="4680" w:end="0"/>
        <w:rPr>
          <w:rFonts w:ascii="Arial" w:hAnsi="Arial" w:cs="Arial"/>
          <w:sz w:val="20"/>
        </w:rPr>
      </w:pPr>
      <w:r>
        <w:rPr>
          <w:rFonts w:cs="Arial" w:ascii="Arial" w:hAnsi="Arial"/>
          <w:sz w:val="20"/>
        </w:rPr>
        <w:tab/>
        <w:tab/>
        <w:tab/>
      </w:r>
    </w:p>
    <w:p>
      <w:pPr>
        <w:pStyle w:val="BodyTextIndent3"/>
        <w:tabs>
          <w:tab w:val="clear" w:pos="5040"/>
        </w:tabs>
        <w:ind w:hanging="1080" w:start="1080" w:end="0"/>
        <w:rPr>
          <w:rFonts w:ascii="Arial" w:hAnsi="Arial" w:cs="Arial"/>
          <w:b/>
          <w:sz w:val="20"/>
        </w:rPr>
      </w:pPr>
      <w:r>
        <w:rPr>
          <w:rFonts w:cs="Arial" w:ascii="Arial" w:hAnsi="Arial"/>
          <w:b/>
          <w:sz w:val="20"/>
        </w:rPr>
      </w:r>
    </w:p>
    <w:p>
      <w:pPr>
        <w:pStyle w:val="BodyTextIndent3"/>
        <w:tabs>
          <w:tab w:val="clear" w:pos="5040"/>
        </w:tabs>
        <w:ind w:hanging="1080" w:start="1080" w:end="0"/>
        <w:rPr/>
      </w:pPr>
      <w:r>
        <w:rPr>
          <w:rFonts w:cs="Arial" w:ascii="Arial" w:hAnsi="Arial"/>
          <w:b/>
          <w:sz w:val="20"/>
        </w:rPr>
        <w:t>Notes:</w:t>
      </w:r>
      <w:r>
        <w:rPr>
          <w:rFonts w:cs="Arial" w:ascii="Arial" w:hAnsi="Arial"/>
          <w:b/>
        </w:rPr>
        <w:t xml:space="preserve"> </w:t>
        <w:tab/>
      </w:r>
      <w:r>
        <w:rPr>
          <w:rFonts w:cs="Arial" w:ascii="Arial" w:hAnsi="Arial"/>
          <w:sz w:val="18"/>
        </w:rPr>
        <w:t>(1) The heat rates specified in Attachment A will be used for RFP evaluation purposes; however, seasonal heat rates tables or curves will be used in the PPA to more closely match actual unit performance to energy payments calculated under the contract.</w:t>
      </w:r>
    </w:p>
    <w:p>
      <w:pPr>
        <w:pStyle w:val="BodyText"/>
        <w:ind w:start="1080" w:end="-810"/>
        <w:jc w:val="both"/>
        <w:rPr>
          <w:rFonts w:ascii="Arial" w:hAnsi="Arial" w:cs="Arial"/>
          <w:sz w:val="18"/>
        </w:rPr>
      </w:pPr>
      <w:r>
        <w:rPr>
          <w:rFonts w:cs="Arial" w:ascii="Arial" w:hAnsi="Arial"/>
          <w:sz w:val="18"/>
        </w:rPr>
        <w:t xml:space="preserve">(2) If not specified in Attachment A, escalation will be applied on January 1 of each year, indexed to GDPIPD. </w:t>
      </w:r>
    </w:p>
    <w:sectPr>
      <w:headerReference w:type="default" r:id="rId2"/>
      <w:footerReference w:type="default" r:id="rId3"/>
      <w:type w:val="nextPage"/>
      <w:pgSz w:w="12240" w:h="15840"/>
      <w:pgMar w:left="1584" w:right="1584"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8</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8</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APC 2003/2004 RFP Basic Terms and Conditions</w:t>
      <w:tab/>
      <w:tab/>
      <w:t xml:space="preserve"> Proprietary and Confidential    </w:t>
    </w:r>
  </w:p>
  <w:p>
    <w:pPr>
      <w:pStyle w:val="Header"/>
      <w:rPr/>
    </w:pPr>
    <w:r>
      <w:rPr/>
      <w:tab/>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p>
    <w:pPr>
      <w:pStyle w:val="Header"/>
      <w:pBdr>
        <w:bottom w:val="single" w:sz="4" w:space="1" w:color="000000"/>
      </w:pBdr>
      <w:rPr/>
    </w:pPr>
    <w:r>
      <w:rPr/>
    </w:r>
  </w:p>
  <w:p>
    <w:pPr>
      <w:pStyle w:val="Normal"/>
      <w:spacing w:lineRule="exact" w:line="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8"/>
      <w:u w:val="single"/>
    </w:rPr>
  </w:style>
  <w:style w:type="paragraph" w:styleId="Heading5">
    <w:name w:val="heading 5"/>
    <w:basedOn w:val="Normal"/>
    <w:next w:val="Normal"/>
    <w:qFormat/>
    <w:pPr>
      <w:keepNext w:val="true"/>
      <w:numPr>
        <w:ilvl w:val="4"/>
        <w:numId w:val="1"/>
      </w:numPr>
      <w:jc w:val="center"/>
      <w:outlineLvl w:val="4"/>
    </w:pPr>
    <w:rPr>
      <w:b/>
      <w:sz w:val="28"/>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ind w:hanging="0" w:start="0" w:end="-810"/>
      <w:outlineLvl w:val="6"/>
    </w:pPr>
    <w:rPr>
      <w:b/>
      <w:sz w:val="24"/>
    </w:rPr>
  </w:style>
  <w:style w:type="paragraph" w:styleId="Heading8">
    <w:name w:val="heading 8"/>
    <w:basedOn w:val="Normal"/>
    <w:next w:val="Normal"/>
    <w:qFormat/>
    <w:pPr>
      <w:keepNext w:val="true"/>
      <w:numPr>
        <w:ilvl w:val="7"/>
        <w:numId w:val="1"/>
      </w:numPr>
      <w:jc w:val="center"/>
      <w:outlineLvl w:val="7"/>
    </w:pPr>
    <w:rPr>
      <w:b/>
      <w:i/>
    </w:rPr>
  </w:style>
  <w:style w:type="paragraph" w:styleId="Heading9">
    <w:name w:val="heading 9"/>
    <w:basedOn w:val="Normal"/>
    <w:next w:val="Normal"/>
    <w:qFormat/>
    <w:pPr>
      <w:keepNext w:val="true"/>
      <w:numPr>
        <w:ilvl w:val="8"/>
        <w:numId w:val="1"/>
      </w:numPr>
      <w:outlineLvl w:val="8"/>
    </w:pPr>
    <w:rPr>
      <w:sz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rPr>
  </w:style>
  <w:style w:type="paragraph" w:styleId="Heading">
    <w:name w:val="Heading"/>
    <w:basedOn w:val="Normal"/>
    <w:next w:val="BodyText"/>
    <w:qFormat/>
    <w:pPr>
      <w:jc w:val="center"/>
    </w:pPr>
    <w:rPr>
      <w:sz w:val="28"/>
    </w:rPr>
  </w:style>
  <w:style w:type="paragraph" w:styleId="BodyText">
    <w:name w:val="Body Text"/>
    <w:basedOn w:val="Normal"/>
    <w:pPr>
      <w:ind w:hanging="0" w:start="0" w:end="-81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color w:val="000000"/>
      <w:sz w:val="24"/>
    </w:rPr>
  </w:style>
  <w:style w:type="paragraph" w:styleId="TOC2">
    <w:name w:val="toc 2"/>
    <w:basedOn w:val="Normal"/>
    <w:next w:val="Normal"/>
    <w:pPr>
      <w:ind w:hanging="0" w:start="200" w:end="0"/>
    </w:pPr>
    <w:rPr/>
  </w:style>
  <w:style w:type="paragraph" w:styleId="TOC1">
    <w:name w:val="toc 1"/>
    <w:basedOn w:val="Normal"/>
    <w:next w:val="Normal"/>
    <w:pPr/>
    <w:rPr/>
  </w:style>
  <w:style w:type="paragraph" w:styleId="BodyTextIndent">
    <w:name w:val="Body Text Indent"/>
    <w:basedOn w:val="Normal"/>
    <w:pPr>
      <w:ind w:hanging="4320" w:start="5040" w:end="0"/>
    </w:pPr>
    <w:rPr>
      <w:sz w:val="24"/>
    </w:rPr>
  </w:style>
  <w:style w:type="paragraph" w:styleId="BodyTextIndent2">
    <w:name w:val="Body Text Indent 2"/>
    <w:basedOn w:val="Normal"/>
    <w:qFormat/>
    <w:pPr>
      <w:tabs>
        <w:tab w:val="clear" w:pos="720"/>
        <w:tab w:val="left" w:pos="4860" w:leader="none"/>
        <w:tab w:val="left" w:pos="5040" w:leader="none"/>
      </w:tabs>
      <w:ind w:hanging="5310" w:start="5040" w:end="0"/>
    </w:pPr>
    <w:rPr>
      <w:sz w:val="24"/>
    </w:rPr>
  </w:style>
  <w:style w:type="paragraph" w:styleId="BodyTextIndent3">
    <w:name w:val="Body Text Indent 3"/>
    <w:basedOn w:val="Normal"/>
    <w:qFormat/>
    <w:pPr>
      <w:tabs>
        <w:tab w:val="clear" w:pos="720"/>
        <w:tab w:val="left" w:pos="5040" w:leader="none"/>
      </w:tabs>
      <w:ind w:hanging="5040" w:start="5040" w:end="0"/>
    </w:pPr>
    <w:rPr>
      <w:sz w:val="24"/>
    </w:rPr>
  </w:style>
  <w:style w:type="paragraph" w:styleId="BodyText3">
    <w:name w:val="Body Text 3"/>
    <w:basedOn w:val="Normal"/>
    <w:qFormat/>
    <w:pPr>
      <w:jc w:val="both"/>
    </w:pPr>
    <w:rPr>
      <w:rFonts w:ascii="Arial" w:hAnsi="Arial" w:cs="Arial"/>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2000-01-28T21:59:00Z</dcterms:created>
  <dc:creator>Southern Wholesale Energy</dc:creator>
  <dc:description/>
  <dc:language>en-CA</dc:language>
  <cp:lastModifiedBy>Michael J. Curry</cp:lastModifiedBy>
  <cp:lastPrinted>1999-11-30T11:59:00Z</cp:lastPrinted>
  <dcterms:modified xsi:type="dcterms:W3CDTF">2000-01-28T21:59:00Z</dcterms:modified>
  <cp:revision>2</cp:revision>
  <dc:subject/>
  <dc:title>CONFIDENTIAL</dc:title>
</cp:coreProperties>
</file>