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CITIBANK CONTRACT SCHEDULING FOR NETCO TRADING COMPANY TRANSACTION</w:t>
      </w:r>
    </w:p>
    <w:p>
      <w:pPr>
        <w:pStyle w:val="Normal"/>
        <w:jc w:val="center"/>
        <w:rPr>
          <w:b/>
          <w:bCs/>
          <w:sz w:val="22"/>
        </w:rPr>
      </w:pPr>
      <w:r>
        <w:rPr>
          <w:b/>
          <w:bCs/>
          <w:sz w:val="22"/>
        </w:rPr>
      </w:r>
    </w:p>
    <w:p>
      <w:pPr>
        <w:pStyle w:val="Normal"/>
        <w:jc w:val="both"/>
        <w:rPr/>
      </w:pPr>
      <w:r>
        <w:rPr>
          <w:sz w:val="22"/>
        </w:rPr>
        <w:t xml:space="preserve">Please review the excerpts regarding Section 3.10 scheduling and representations in respect of the contract items listed and advise if you are aware of any contracts that may be applicable.  The Section 3.10 representation is at the end of this memo, preceded by applicable definitions.  </w:t>
      </w:r>
      <w:r>
        <w:rPr>
          <w:b/>
          <w:bCs/>
          <w:sz w:val="22"/>
        </w:rPr>
        <w:t xml:space="preserve">Please provide to Eddy Daniels or Angela Davis a list of any contracts of which you may be aware, taking note that the "old book" transactions are not a part of the Business or the Assets.  </w:t>
      </w:r>
      <w:r>
        <w:rPr>
          <w:b/>
          <w:bCs/>
          <w:i/>
          <w:iCs/>
          <w:sz w:val="22"/>
          <w:u w:val="single"/>
        </w:rPr>
        <w:t>Thank you for your attention to this matter by end of today.</w:t>
      </w:r>
      <w:r>
        <w:rPr>
          <w:i/>
          <w:iCs/>
          <w:sz w:val="22"/>
          <w:u w:val="single"/>
        </w:rPr>
        <w:t xml:space="preserve">  </w:t>
      </w:r>
    </w:p>
    <w:p>
      <w:pPr>
        <w:pStyle w:val="Normal"/>
        <w:jc w:val="both"/>
        <w:rPr>
          <w:i/>
          <w:i/>
          <w:iCs/>
          <w:sz w:val="22"/>
          <w:u w:val="single"/>
        </w:rPr>
      </w:pPr>
      <w:r>
        <w:rPr>
          <w:i/>
          <w:iCs/>
          <w:sz w:val="22"/>
          <w:u w:val="single"/>
        </w:rPr>
      </w:r>
    </w:p>
    <w:p>
      <w:pPr>
        <w:pStyle w:val="Normal"/>
        <w:jc w:val="both"/>
        <w:rPr>
          <w:b/>
          <w:bCs/>
          <w:sz w:val="22"/>
        </w:rPr>
      </w:pPr>
      <w:r>
        <w:rPr>
          <w:b/>
          <w:bCs/>
          <w:sz w:val="22"/>
        </w:rPr>
        <w:t>The representation and the schedule relate to the following definition of business set forth in the Citibank Bid:</w:t>
      </w:r>
    </w:p>
    <w:p>
      <w:pPr>
        <w:pStyle w:val="Normal"/>
        <w:jc w:val="both"/>
        <w:rPr>
          <w:b/>
          <w:bCs/>
          <w:sz w:val="22"/>
        </w:rPr>
      </w:pPr>
      <w:r>
        <w:rPr>
          <w:b/>
          <w:bCs/>
          <w:sz w:val="22"/>
        </w:rPr>
      </w:r>
    </w:p>
    <w:p>
      <w:pPr>
        <w:pStyle w:val="BodyText"/>
        <w:widowControl/>
        <w:rPr/>
      </w:pPr>
      <w:r>
        <w:rPr>
          <w:sz w:val="22"/>
        </w:rPr>
        <w:t xml:space="preserve">WHEREAS, Sellers are engaged in the </w:t>
      </w:r>
      <w:r>
        <w:rPr>
          <w:sz w:val="22"/>
          <w:u w:val="double"/>
        </w:rPr>
        <w:t>wholesale North American natural gas and electricity</w:t>
      </w:r>
      <w:r>
        <w:rPr>
          <w:sz w:val="22"/>
        </w:rPr>
        <w:t xml:space="preserve"> business </w:t>
      </w:r>
      <w:r>
        <w:rPr>
          <w:strike/>
          <w:sz w:val="22"/>
        </w:rPr>
        <w:t>of [TBD]</w:t>
      </w:r>
      <w:r>
        <w:rPr>
          <w:sz w:val="22"/>
          <w:u w:val="double"/>
        </w:rPr>
        <w:t>, which includes the structuring of, originating of, marketing of, physical distribution of, trading of and the making of markets in, in respect of customers and counterparties worldwide, North American Gas and Electricity Commodities, and related risk management and financial services, and information gathering and analysis</w:t>
      </w:r>
      <w:r>
        <w:rPr>
          <w:sz w:val="22"/>
        </w:rPr>
        <w:t xml:space="preserve"> (the “</w:t>
      </w:r>
      <w:r>
        <w:rPr>
          <w:sz w:val="22"/>
          <w:u w:val="single"/>
        </w:rPr>
        <w:t>Business</w:t>
      </w:r>
      <w:r>
        <w:rPr>
          <w:sz w:val="22"/>
        </w:rPr>
        <w:t>”);</w:t>
      </w:r>
    </w:p>
    <w:p>
      <w:pPr>
        <w:pStyle w:val="Normal"/>
        <w:jc w:val="both"/>
        <w:rPr>
          <w:b/>
          <w:bCs/>
          <w:sz w:val="22"/>
        </w:rPr>
      </w:pPr>
      <w:r>
        <w:rPr>
          <w:b/>
          <w:bCs/>
          <w:sz w:val="22"/>
        </w:rPr>
        <w:t>The representation and the schedule relate to Assets per the following definition and construct:</w:t>
      </w:r>
    </w:p>
    <w:p>
      <w:pPr>
        <w:pStyle w:val="Normal"/>
        <w:jc w:val="both"/>
        <w:rPr>
          <w:b/>
          <w:bCs/>
          <w:sz w:val="22"/>
        </w:rPr>
      </w:pPr>
      <w:r>
        <w:rPr>
          <w:b/>
          <w:bCs/>
          <w:sz w:val="22"/>
        </w:rPr>
      </w:r>
    </w:p>
    <w:p>
      <w:pPr>
        <w:pStyle w:val="Normal"/>
        <w:jc w:val="both"/>
        <w:rPr/>
      </w:pPr>
      <w:r>
        <w:rPr>
          <w:sz w:val="22"/>
        </w:rPr>
        <w:t xml:space="preserve">Subject to the satisfaction or waiver in writing of the conditions set forth herein and to the other terms, conditions and provisions hereof, at the Closing, Sellers shall sell, convey, assign, transfer and deliver </w:t>
      </w:r>
      <w:r>
        <w:rPr>
          <w:strike/>
          <w:sz w:val="22"/>
        </w:rPr>
        <w:t xml:space="preserve">to Buyer </w:t>
      </w:r>
      <w:r>
        <w:rPr>
          <w:sz w:val="22"/>
          <w:u w:val="double"/>
        </w:rPr>
        <w:t>, or license pursuant to the terms of the License Agreements, to U.S. Buyer or Canadian Buyer, as the case may be,</w:t>
      </w:r>
      <w:r>
        <w:rPr>
          <w:sz w:val="22"/>
        </w:rPr>
        <w:t xml:space="preserve"> or cause to be sold, conveyed, assigned, transferred and delivered </w:t>
      </w:r>
      <w:r>
        <w:rPr>
          <w:strike/>
          <w:sz w:val="22"/>
        </w:rPr>
        <w:t>to</w:t>
      </w:r>
      <w:r>
        <w:rPr>
          <w:sz w:val="22"/>
          <w:u w:val="double"/>
        </w:rPr>
        <w:t>, or licensed pursuant to the terms of the License Agreements, to U.S. Buyer or Canadian</w:t>
      </w:r>
      <w:r>
        <w:rPr>
          <w:sz w:val="22"/>
        </w:rPr>
        <w:t xml:space="preserve"> Buyer, as the case may be, and </w:t>
      </w:r>
      <w:r>
        <w:rPr>
          <w:strike/>
          <w:sz w:val="22"/>
        </w:rPr>
        <w:t xml:space="preserve">Buyer </w:t>
      </w:r>
      <w:r>
        <w:rPr>
          <w:sz w:val="22"/>
          <w:u w:val="double"/>
        </w:rPr>
        <w:t>U.S. Buyer and Canadian Buyer, as the case may be,</w:t>
      </w:r>
      <w:r>
        <w:rPr>
          <w:sz w:val="22"/>
        </w:rPr>
        <w:t xml:space="preserve"> shall purchase, acquire, accept and pay for, all of </w:t>
      </w:r>
      <w:r>
        <w:rPr>
          <w:strike/>
          <w:sz w:val="22"/>
        </w:rPr>
        <w:t>the</w:t>
      </w:r>
      <w:r>
        <w:rPr>
          <w:sz w:val="22"/>
        </w:rPr>
        <w:t xml:space="preserve"> </w:t>
      </w:r>
      <w:r>
        <w:rPr>
          <w:sz w:val="22"/>
          <w:u w:val="double"/>
        </w:rPr>
        <w:t>Sellers’</w:t>
      </w:r>
      <w:r>
        <w:rPr>
          <w:sz w:val="22"/>
        </w:rPr>
        <w:t xml:space="preserve"> right, title and interest </w:t>
      </w:r>
      <w:r>
        <w:rPr>
          <w:sz w:val="22"/>
          <w:u w:val="double"/>
        </w:rPr>
        <w:t>in, or license pursuant to the terms of the License Agreements, the right to use from Sellers, in each case</w:t>
      </w:r>
      <w:r>
        <w:rPr>
          <w:sz w:val="22"/>
        </w:rPr>
        <w:t>, free and clear of all Encumbrances</w:t>
      </w:r>
      <w:r>
        <w:rPr>
          <w:strike/>
          <w:sz w:val="22"/>
        </w:rPr>
        <w:t>, of Sellers in</w:t>
      </w:r>
      <w:r>
        <w:rPr>
          <w:sz w:val="22"/>
        </w:rPr>
        <w:t xml:space="preserve"> </w:t>
      </w:r>
      <w:r>
        <w:rPr>
          <w:sz w:val="22"/>
          <w:u w:val="double"/>
        </w:rPr>
        <w:t>and Liabilities,</w:t>
      </w:r>
      <w:r>
        <w:rPr>
          <w:sz w:val="22"/>
        </w:rPr>
        <w:t xml:space="preserve"> all of the properties, assets and rights of every kind, whether tangible or intangible, real, personal or mixed, wherever located, whether now existing or hereafter acquired (excluding the Excluded Assets) that are used or held for use in</w:t>
      </w:r>
      <w:r>
        <w:rPr>
          <w:strike/>
          <w:sz w:val="22"/>
        </w:rPr>
        <w:t>,</w:t>
      </w:r>
      <w:r>
        <w:rPr>
          <w:sz w:val="22"/>
        </w:rPr>
        <w:t xml:space="preserve"> or that are necessary or appropriate for the conduct of</w:t>
      </w:r>
      <w:r>
        <w:rPr>
          <w:strike/>
          <w:sz w:val="22"/>
        </w:rPr>
        <w:t>,</w:t>
      </w:r>
      <w:r>
        <w:rPr>
          <w:sz w:val="22"/>
        </w:rPr>
        <w:t xml:space="preserve"> the Business (collectively, the “</w:t>
      </w:r>
      <w:r>
        <w:rPr>
          <w:sz w:val="22"/>
          <w:u w:val="single"/>
        </w:rPr>
        <w:t>Assets</w:t>
      </w:r>
      <w:r>
        <w:rPr>
          <w:sz w:val="22"/>
        </w:rPr>
        <w:t>”),</w:t>
      </w:r>
      <w:r>
        <w:br w:type="page"/>
      </w:r>
    </w:p>
    <w:p>
      <w:pPr>
        <w:pStyle w:val="Normal"/>
        <w:jc w:val="both"/>
        <w:rPr>
          <w:sz w:val="22"/>
        </w:rPr>
      </w:pPr>
      <w:r>
        <w:rPr>
          <w:sz w:val="22"/>
        </w:rPr>
      </w:r>
    </w:p>
    <w:p>
      <w:pPr>
        <w:pStyle w:val="Normal"/>
        <w:jc w:val="both"/>
        <w:rPr>
          <w:sz w:val="22"/>
        </w:rPr>
      </w:pPr>
      <w:r>
        <w:rPr>
          <w:sz w:val="22"/>
        </w:rPr>
        <w:t>Excluded Assets are as follows:</w:t>
      </w:r>
    </w:p>
    <w:p>
      <w:pPr>
        <w:pStyle w:val="Normal"/>
        <w:jc w:val="both"/>
        <w:rPr>
          <w:sz w:val="22"/>
        </w:rPr>
      </w:pPr>
      <w:r>
        <w:rPr>
          <w:sz w:val="22"/>
        </w:rPr>
      </w:r>
    </w:p>
    <w:p>
      <w:pPr>
        <w:pStyle w:val="Heading2"/>
        <w:widowControl/>
        <w:rPr/>
      </w:pPr>
      <w:r>
        <w:rPr>
          <w:sz w:val="22"/>
          <w:u w:val="single"/>
        </w:rPr>
        <w:t>Excluded Assets</w:t>
      </w:r>
      <w:r>
        <w:fldChar w:fldCharType="begin"/>
      </w:r>
      <w:r>
        <w:rPr/>
        <w:instrText xml:space="preserve"> XE "“Section2.2ExcludedAssets“" \f "User-Defined Index" </w:instrText>
      </w:r>
      <w:r>
        <w:rPr/>
        <w:fldChar w:fldCharType="separate"/>
      </w:r>
      <w:r>
        <w:rPr/>
      </w:r>
      <w:r>
        <w:rPr/>
        <w:fldChar w:fldCharType="end"/>
      </w:r>
      <w:r>
        <w:rPr>
          <w:sz w:val="22"/>
        </w:rPr>
        <w:t>.  Anything to the contrary herein notwithstanding, all Sellers’ and their Affiliates’ right, title and interest in all of the following properties, assets and other rights (the “</w:t>
      </w:r>
      <w:r>
        <w:rPr>
          <w:sz w:val="22"/>
          <w:u w:val="single"/>
        </w:rPr>
        <w:t>Excluded Assets</w:t>
      </w:r>
      <w:r>
        <w:rPr>
          <w:sz w:val="22"/>
        </w:rPr>
        <w:t>”) shall be excluded from the Assets:</w:t>
      </w:r>
    </w:p>
    <w:p>
      <w:pPr>
        <w:pStyle w:val="Heading3"/>
        <w:widowControl/>
        <w:rPr/>
      </w:pPr>
      <w:r>
        <w:rPr>
          <w:sz w:val="22"/>
        </w:rPr>
        <w:t>(a)   </w:t>
        <w:tab/>
        <w:t>all trading positions and contracts</w:t>
      </w:r>
      <w:r>
        <w:rPr>
          <w:sz w:val="22"/>
          <w:u w:val="double"/>
        </w:rPr>
        <w:t>, and all other pending transactions relating to commodities of any kind (including North American Gas and Electricity Commodities),</w:t>
      </w:r>
      <w:r>
        <w:rPr>
          <w:sz w:val="22"/>
        </w:rPr>
        <w:t xml:space="preserve"> with </w:t>
      </w:r>
      <w:r>
        <w:rPr>
          <w:strike/>
          <w:sz w:val="22"/>
        </w:rPr>
        <w:t>trading</w:t>
      </w:r>
      <w:r>
        <w:rPr>
          <w:sz w:val="22"/>
        </w:rPr>
        <w:t xml:space="preserve"> counterparties committed or entered into by or on behalf of, whether or not yet recorded on the books of, Sellers or any Affiliate of any Seller; </w:t>
      </w:r>
    </w:p>
    <w:p>
      <w:pPr>
        <w:pStyle w:val="Heading3"/>
        <w:widowControl/>
        <w:rPr>
          <w:sz w:val="22"/>
        </w:rPr>
      </w:pPr>
      <w:r>
        <w:rPr>
          <w:sz w:val="22"/>
        </w:rPr>
        <w:t>(b)   </w:t>
        <w:tab/>
        <w:t>cash, cash equivalents, notes and accounts receivable and all notes, bonds and other evidence of indebtedness of any Person;</w:t>
      </w:r>
    </w:p>
    <w:p>
      <w:pPr>
        <w:pStyle w:val="Heading3"/>
        <w:widowControl/>
        <w:rPr/>
      </w:pPr>
      <w:r>
        <w:rPr>
          <w:sz w:val="22"/>
        </w:rPr>
        <w:t>(c)   </w:t>
        <w:tab/>
        <w:t xml:space="preserve">shares of capital stock, partnership </w:t>
      </w:r>
      <w:r>
        <w:rPr>
          <w:sz w:val="22"/>
          <w:u w:val="double"/>
        </w:rPr>
        <w:t>interests, equity</w:t>
      </w:r>
      <w:r>
        <w:rPr>
          <w:sz w:val="22"/>
        </w:rPr>
        <w:t xml:space="preserve"> interests or other evidence of ownership or control of any Person or securities or other instruments convertible into, exchangeable or exercisable for any of the foregoing;</w:t>
      </w:r>
    </w:p>
    <w:p>
      <w:pPr>
        <w:pStyle w:val="Heading3"/>
        <w:widowControl/>
        <w:rPr/>
      </w:pPr>
      <w:r>
        <w:rPr>
          <w:sz w:val="22"/>
        </w:rPr>
        <w:t>(d)   </w:t>
        <w:tab/>
        <w:t xml:space="preserve">any assets of any Employee Benefit Plan and any rights under any Employee Benefit Plan or any contract, agreement or arrangement between any Employee </w:t>
      </w:r>
      <w:r>
        <w:rPr>
          <w:strike/>
          <w:sz w:val="22"/>
        </w:rPr>
        <w:t>or Consultant</w:t>
      </w:r>
      <w:r>
        <w:rPr>
          <w:sz w:val="22"/>
        </w:rPr>
        <w:t xml:space="preserve"> and Sellers or any of their Affiliates</w:t>
      </w:r>
      <w:r>
        <w:rPr>
          <w:strike/>
          <w:sz w:val="22"/>
        </w:rPr>
        <w:t>, except to the extent assumed under Section 2.1(e)</w:t>
      </w:r>
      <w:r>
        <w:rPr>
          <w:sz w:val="22"/>
        </w:rPr>
        <w:t>;</w:t>
      </w:r>
    </w:p>
    <w:p>
      <w:pPr>
        <w:pStyle w:val="Heading3"/>
        <w:widowControl/>
        <w:rPr/>
      </w:pPr>
      <w:r>
        <w:rPr>
          <w:sz w:val="22"/>
        </w:rPr>
        <w:t>(e)   </w:t>
        <w:tab/>
        <w:t>all rights, demands, claims, Actions and causes of action (whether for personal injuries or property, consequential or other damages of any kind) (collectively, “</w:t>
      </w:r>
      <w:r>
        <w:rPr>
          <w:sz w:val="22"/>
          <w:u w:val="single"/>
        </w:rPr>
        <w:t>Claims</w:t>
      </w:r>
      <w:r>
        <w:rPr>
          <w:sz w:val="22"/>
        </w:rPr>
        <w:t xml:space="preserve">”) that any Seller, any Affiliate, or the Business may have, on or after the date hereof, against any Governmental Authority for refund or credit of any type with respect to Excluded Taxes; </w:t>
      </w:r>
    </w:p>
    <w:p>
      <w:pPr>
        <w:pStyle w:val="Heading3"/>
        <w:widowControl/>
        <w:rPr>
          <w:sz w:val="22"/>
        </w:rPr>
      </w:pPr>
      <w:r>
        <w:rPr>
          <w:sz w:val="22"/>
        </w:rPr>
        <w:t>(f)   </w:t>
        <w:tab/>
        <w:t xml:space="preserve">all Claims that any Seller, any Affiliate, or the Business may have against any Person with respect to or that are exclusively related to any Excluded Liabilities or Excluded Assets, whether arising by counterclaim or otherwise; </w:t>
      </w:r>
    </w:p>
    <w:p>
      <w:pPr>
        <w:pStyle w:val="Heading3"/>
        <w:widowControl/>
        <w:rPr/>
      </w:pPr>
      <w:r>
        <w:rPr>
          <w:sz w:val="22"/>
        </w:rPr>
        <w:t>(g)   </w:t>
        <w:tab/>
        <w:t xml:space="preserve">proceeds, reserves, benefits or claims related to any insurance coverage arising out of the insurance policies set forth in </w:t>
      </w:r>
      <w:r>
        <w:rPr>
          <w:sz w:val="22"/>
          <w:u w:val="single"/>
        </w:rPr>
        <w:t>Schedule 2.1(j)(i)</w:t>
      </w:r>
      <w:r>
        <w:rPr>
          <w:sz w:val="22"/>
        </w:rPr>
        <w:t xml:space="preserve"> with respect to Claims arising out of or in connection with any Excluded Liabilities; </w:t>
      </w:r>
    </w:p>
    <w:p>
      <w:pPr>
        <w:pStyle w:val="Heading3"/>
        <w:widowControl/>
        <w:rPr>
          <w:b/>
          <w:sz w:val="22"/>
        </w:rPr>
      </w:pPr>
      <w:r>
        <w:rPr>
          <w:sz w:val="22"/>
        </w:rPr>
        <w:t>(h)   </w:t>
        <w:tab/>
        <w:t xml:space="preserve">all rights under </w:t>
      </w:r>
      <w:r>
        <w:rPr>
          <w:strike/>
          <w:sz w:val="22"/>
        </w:rPr>
        <w:t>executory</w:t>
      </w:r>
      <w:r>
        <w:rPr>
          <w:sz w:val="22"/>
        </w:rPr>
        <w:t xml:space="preserve"> contracts with third parties relating to the Business other than </w:t>
      </w:r>
      <w:r>
        <w:rPr>
          <w:strike/>
          <w:sz w:val="22"/>
        </w:rPr>
        <w:t>under</w:t>
      </w:r>
      <w:r>
        <w:rPr>
          <w:sz w:val="22"/>
        </w:rPr>
        <w:t xml:space="preserve"> Assumed Contracts </w:t>
      </w:r>
      <w:r>
        <w:rPr>
          <w:sz w:val="22"/>
          <w:u w:val="double"/>
        </w:rPr>
        <w:t>(all such contracts are set forth on Schedule 2.2(h))</w:t>
      </w:r>
      <w:r>
        <w:rPr>
          <w:sz w:val="22"/>
        </w:rPr>
        <w:t>;</w:t>
      </w:r>
    </w:p>
    <w:p>
      <w:pPr>
        <w:pStyle w:val="Heading3"/>
        <w:widowControl/>
        <w:rPr>
          <w:sz w:val="22"/>
        </w:rPr>
      </w:pPr>
      <w:r>
        <w:rPr>
          <w:sz w:val="22"/>
        </w:rPr>
        <w:t>(i)   </w:t>
        <w:tab/>
        <w:t>each Seller’s minute books, stock transfer records, qualifications to conduct business as a foreign corporation and all other documents relating to the organization, maintenance and existence of each Seller as a corporation; and</w:t>
      </w:r>
    </w:p>
    <w:p>
      <w:pPr>
        <w:pStyle w:val="Heading3"/>
        <w:widowControl/>
        <w:rPr/>
      </w:pPr>
      <w:r>
        <w:rPr>
          <w:sz w:val="22"/>
        </w:rPr>
        <w:t>(j)   </w:t>
        <w:tab/>
        <w:t xml:space="preserve">any assets relating to the Business located outside North America and those assets listed on </w:t>
      </w:r>
      <w:r>
        <w:rPr>
          <w:sz w:val="22"/>
          <w:u w:val="single"/>
        </w:rPr>
        <w:t>Schedule 2.2(j</w:t>
      </w:r>
      <w:r>
        <w:rPr>
          <w:sz w:val="22"/>
        </w:rPr>
        <w:t>).</w:t>
      </w:r>
      <w:r>
        <w:br w:type="page"/>
      </w:r>
    </w:p>
    <w:p>
      <w:pPr>
        <w:pStyle w:val="BodyText"/>
        <w:ind w:hanging="0" w:end="0"/>
        <w:rPr>
          <w:b/>
          <w:bCs/>
        </w:rPr>
      </w:pPr>
      <w:r>
        <w:rPr>
          <w:b/>
          <w:bCs/>
        </w:rPr>
        <w:t>SECTION 3.10 REPRESENTATION:  Within these general confines, this is the contract representation as presented in the Citibank Bid:</w:t>
      </w:r>
    </w:p>
    <w:p>
      <w:pPr>
        <w:pStyle w:val="Normal"/>
        <w:jc w:val="both"/>
        <w:rPr>
          <w:b/>
          <w:bCs/>
          <w:sz w:val="22"/>
        </w:rPr>
      </w:pPr>
      <w:r>
        <w:rPr>
          <w:b/>
          <w:bCs/>
          <w:sz w:val="22"/>
        </w:rPr>
      </w:r>
    </w:p>
    <w:p>
      <w:pPr>
        <w:pStyle w:val="Heading2"/>
        <w:widowControl/>
        <w:rPr/>
      </w:pPr>
      <w:r>
        <w:rPr>
          <w:sz w:val="22"/>
        </w:rPr>
        <w:t>Section 3.10.</w:t>
        <w:tab/>
      </w:r>
      <w:r>
        <w:rPr>
          <w:sz w:val="22"/>
          <w:u w:val="single"/>
        </w:rPr>
        <w:t>Contracts</w:t>
      </w:r>
      <w:r>
        <w:fldChar w:fldCharType="begin"/>
      </w:r>
      <w:r>
        <w:rPr/>
        <w:instrText xml:space="preserve"> XE "“Section3.10Contracts“" \f "User-Defined Index" </w:instrText>
      </w:r>
      <w:r>
        <w:rPr/>
        <w:fldChar w:fldCharType="separate"/>
      </w:r>
      <w:r>
        <w:rPr/>
      </w:r>
      <w:r>
        <w:rPr/>
        <w:fldChar w:fldCharType="end"/>
      </w:r>
      <w:r>
        <w:rPr>
          <w:sz w:val="22"/>
        </w:rPr>
        <w:t xml:space="preserve">.  (a)  </w:t>
      </w:r>
      <w:r>
        <w:rPr>
          <w:sz w:val="22"/>
          <w:u w:val="single"/>
        </w:rPr>
        <w:t>Schedule 3.10</w:t>
      </w:r>
      <w:r>
        <w:rPr>
          <w:sz w:val="22"/>
        </w:rPr>
        <w:t xml:space="preserve"> contains a complete and correct list of all agreements, contracts, commitments, understandings and other instruments and arrangements (whether written or oral) of the types described below (1) by which</w:t>
      </w:r>
      <w:r>
        <w:rPr>
          <w:strike/>
          <w:sz w:val="22"/>
        </w:rPr>
        <w:t>, after giving effect to the transactions contemplated by this Agreement,</w:t>
      </w:r>
      <w:r>
        <w:rPr>
          <w:sz w:val="22"/>
        </w:rPr>
        <w:t xml:space="preserve"> any of the Assets are bound or affected or (2) to which any Seller or any Affiliate is a party or by which it is bound or affected in connection with the Business or the Assets, other than any which relate solely to </w:t>
      </w:r>
      <w:r>
        <w:rPr>
          <w:sz w:val="22"/>
          <w:u w:val="double"/>
        </w:rPr>
        <w:t>Excluded Assets,</w:t>
      </w:r>
      <w:r>
        <w:rPr>
          <w:sz w:val="22"/>
        </w:rPr>
        <w:t xml:space="preserve"> Excluded Liabilities or Employee Benefit Plans (collectively, “</w:t>
      </w:r>
      <w:r>
        <w:rPr>
          <w:sz w:val="22"/>
          <w:u w:val="single"/>
        </w:rPr>
        <w:t>Contracts</w:t>
      </w:r>
      <w:r>
        <w:rPr>
          <w:sz w:val="22"/>
        </w:rPr>
        <w:t>”):</w:t>
      </w:r>
    </w:p>
    <w:p>
      <w:pPr>
        <w:pStyle w:val="Heading4"/>
        <w:widowControl/>
        <w:rPr/>
      </w:pPr>
      <w:r>
        <w:rPr>
          <w:sz w:val="22"/>
        </w:rPr>
        <w:t>(i)</w:t>
        <w:tab/>
        <w:t xml:space="preserve">any employment, consulting, severance, termination, </w:t>
      </w:r>
      <w:r>
        <w:rPr>
          <w:sz w:val="22"/>
          <w:u w:val="double"/>
        </w:rPr>
        <w:t>retention, compensation, incentive</w:t>
      </w:r>
      <w:r>
        <w:rPr>
          <w:sz w:val="22"/>
        </w:rPr>
        <w:t xml:space="preserve"> or indemnification agreement, contract or arrangement, written or, to Seller’s knowledge, oral, with any current officer, consultant, director or employee performing services in the operation of the Business with agreement commitments in excess of $50,000;</w:t>
      </w:r>
    </w:p>
    <w:p>
      <w:pPr>
        <w:pStyle w:val="Heading4"/>
        <w:widowControl/>
        <w:rPr>
          <w:sz w:val="22"/>
        </w:rPr>
      </w:pPr>
      <w:r>
        <w:rPr>
          <w:sz w:val="22"/>
        </w:rPr>
        <w:t>(ii)</w:t>
        <w:tab/>
        <w:t>any joint venture contract or arrangement or any other agreement that has involved or is expected to involve a sharing of revenues of $250,000 per annum or more with other persons;</w:t>
      </w:r>
    </w:p>
    <w:p>
      <w:pPr>
        <w:pStyle w:val="Heading4"/>
        <w:widowControl/>
        <w:rPr>
          <w:sz w:val="22"/>
        </w:rPr>
      </w:pPr>
      <w:r>
        <w:rPr>
          <w:sz w:val="22"/>
        </w:rPr>
        <w:t>(iii)</w:t>
        <w:tab/>
        <w:t>any lease for personal property in which the amount of payments that any Seller is required to make, or is expected to receive, on an annual basis exceeds $100,000;</w:t>
      </w:r>
    </w:p>
    <w:p>
      <w:pPr>
        <w:pStyle w:val="Heading4"/>
        <w:widowControl/>
        <w:rPr/>
      </w:pPr>
      <w:r>
        <w:rPr>
          <w:sz w:val="22"/>
        </w:rPr>
        <w:t>(iv)</w:t>
        <w:tab/>
        <w:t>any contract or agreement for the purchase by Sellers of products or services that either (A) has a term of one year or longer or (B) is reasonably expected to result in purchases or sales in excess of $250,000 over the term of such contract or agreement (assuming all renewals and extensions are taken)</w:t>
      </w:r>
      <w:r>
        <w:rPr>
          <w:sz w:val="22"/>
          <w:u w:val="double"/>
        </w:rPr>
        <w:t>,</w:t>
      </w:r>
      <w:r>
        <w:rPr>
          <w:sz w:val="22"/>
        </w:rPr>
        <w:t xml:space="preserve"> and any </w:t>
      </w:r>
      <w:r>
        <w:rPr>
          <w:strike/>
          <w:sz w:val="22"/>
        </w:rPr>
        <w:t>Customer Agreement</w:t>
      </w:r>
      <w:r>
        <w:rPr>
          <w:sz w:val="22"/>
        </w:rPr>
        <w:t xml:space="preserve"> </w:t>
      </w:r>
      <w:r>
        <w:rPr>
          <w:sz w:val="22"/>
          <w:u w:val="double"/>
        </w:rPr>
        <w:t>customer agreements</w:t>
      </w:r>
      <w:r>
        <w:rPr>
          <w:sz w:val="22"/>
        </w:rPr>
        <w:t xml:space="preserve">; </w:t>
      </w:r>
    </w:p>
    <w:p>
      <w:pPr>
        <w:pStyle w:val="Heading4"/>
        <w:widowControl/>
        <w:rPr>
          <w:sz w:val="22"/>
        </w:rPr>
      </w:pPr>
      <w:r>
        <w:rPr>
          <w:sz w:val="22"/>
        </w:rPr>
        <w:t>(v)</w:t>
        <w:tab/>
        <w:t>any agreement, contract, policy, license, document, instrument, arrangement or commitment that limits the freedom of Sellers or any of their Affiliates or any of its employees to compete in any line of business or with any person or in any geographic area or that would so limit the freedom of the Business or Buyer or any of its subsidiaries after the Closing Date;</w:t>
      </w:r>
    </w:p>
    <w:p>
      <w:pPr>
        <w:pStyle w:val="Heading4"/>
        <w:widowControl/>
        <w:rPr>
          <w:sz w:val="22"/>
        </w:rPr>
      </w:pPr>
      <w:r>
        <w:rPr>
          <w:sz w:val="22"/>
        </w:rPr>
        <w:t>(vi)</w:t>
        <w:tab/>
        <w:t>any agreement or contract relating to any outstanding commitment for capital expenditures in excess of $250,000 individually or $500,000 in the aggregate, or any partially or fully executory agreement or contract relating to the acquisition or disposition of rights or assets having a value of in excess of $250,000 individually or $500,000 in the aggregate;</w:t>
      </w:r>
    </w:p>
    <w:p>
      <w:pPr>
        <w:pStyle w:val="Heading4"/>
        <w:widowControl/>
        <w:rPr>
          <w:sz w:val="22"/>
        </w:rPr>
      </w:pPr>
      <w:r>
        <w:rPr>
          <w:sz w:val="22"/>
        </w:rPr>
        <w:t>(vii)</w:t>
        <w:tab/>
        <w:t xml:space="preserve">any sale-leaseback, conditional sale, exclusive dealing, brokerage, finder’s fee or take-or-pay contract or agreement; </w:t>
      </w:r>
    </w:p>
    <w:p>
      <w:pPr>
        <w:pStyle w:val="Heading4"/>
        <w:widowControl/>
        <w:rPr/>
      </w:pPr>
      <w:r>
        <w:rPr>
          <w:sz w:val="22"/>
        </w:rPr>
        <w:t>(viii)</w:t>
        <w:tab/>
        <w:t xml:space="preserve">any agreement, contract, policy, license, document, instrument, arrangement or commitment pursuant to which any Seller owns or has or has granted </w:t>
      </w:r>
      <w:r>
        <w:rPr>
          <w:sz w:val="22"/>
          <w:u w:val="double"/>
        </w:rPr>
        <w:t>or has been granted</w:t>
      </w:r>
      <w:r>
        <w:rPr>
          <w:sz w:val="22"/>
        </w:rPr>
        <w:t xml:space="preserve"> rights in, or the right to use, any </w:t>
      </w:r>
      <w:r>
        <w:rPr>
          <w:strike/>
          <w:sz w:val="22"/>
        </w:rPr>
        <w:t>Assumed</w:t>
      </w:r>
      <w:r>
        <w:rPr>
          <w:sz w:val="22"/>
        </w:rPr>
        <w:t xml:space="preserve"> </w:t>
      </w:r>
      <w:r>
        <w:rPr>
          <w:sz w:val="22"/>
          <w:u w:val="double"/>
        </w:rPr>
        <w:t>Business</w:t>
      </w:r>
      <w:r>
        <w:rPr>
          <w:sz w:val="22"/>
        </w:rPr>
        <w:t xml:space="preserve"> Intellectual Property; </w:t>
      </w:r>
    </w:p>
    <w:p>
      <w:pPr>
        <w:pStyle w:val="Heading4"/>
        <w:widowControl/>
        <w:rPr/>
      </w:pPr>
      <w:r>
        <w:rPr>
          <w:sz w:val="22"/>
        </w:rPr>
        <w:t>(ix)</w:t>
        <w:tab/>
        <w:t xml:space="preserve">any agreements, contracts or other arrangements with the twenty largest customers of the Business (by dollar volume of revenue for the twelve months </w:t>
      </w:r>
      <w:r>
        <w:rPr>
          <w:strike/>
          <w:sz w:val="22"/>
        </w:rPr>
        <w:t>preceding</w:t>
      </w:r>
      <w:r>
        <w:rPr>
          <w:sz w:val="22"/>
        </w:rPr>
        <w:t xml:space="preserve"> </w:t>
      </w:r>
      <w:r>
        <w:rPr>
          <w:sz w:val="22"/>
          <w:u w:val="double"/>
        </w:rPr>
        <w:t>ending</w:t>
      </w:r>
      <w:r>
        <w:rPr>
          <w:sz w:val="22"/>
        </w:rPr>
        <w:t xml:space="preserve"> September 30, 2001);  </w:t>
      </w:r>
    </w:p>
    <w:p>
      <w:pPr>
        <w:pStyle w:val="Heading4"/>
        <w:widowControl/>
        <w:rPr/>
      </w:pPr>
      <w:r>
        <w:rPr>
          <w:sz w:val="22"/>
        </w:rPr>
        <w:t>(x)</w:t>
        <w:tab/>
        <w:t xml:space="preserve">any </w:t>
      </w:r>
      <w:r>
        <w:rPr>
          <w:strike/>
          <w:sz w:val="22"/>
        </w:rPr>
        <w:t>executory</w:t>
      </w:r>
      <w:r>
        <w:rPr>
          <w:sz w:val="22"/>
        </w:rPr>
        <w:t xml:space="preserve"> agreement, contract or license related to any </w:t>
      </w:r>
      <w:r>
        <w:rPr>
          <w:strike/>
          <w:sz w:val="22"/>
        </w:rPr>
        <w:t>Assumed</w:t>
      </w:r>
      <w:r>
        <w:rPr>
          <w:sz w:val="22"/>
        </w:rPr>
        <w:t xml:space="preserve"> </w:t>
      </w:r>
      <w:r>
        <w:rPr>
          <w:sz w:val="22"/>
          <w:u w:val="double"/>
        </w:rPr>
        <w:t>Business</w:t>
      </w:r>
      <w:r>
        <w:rPr>
          <w:sz w:val="22"/>
        </w:rPr>
        <w:t xml:space="preserve"> Intellectual Property, computer and telecommunications hardware leases, reproduction equipment leases, data agreements, research services agreements, agreements for the support and maintenance of facilities, reproduction equipment or telecommunications hardware and software; or</w:t>
      </w:r>
    </w:p>
    <w:p>
      <w:pPr>
        <w:pStyle w:val="Heading4"/>
        <w:widowControl/>
        <w:rPr>
          <w:sz w:val="22"/>
        </w:rPr>
      </w:pPr>
      <w:r>
        <w:rPr>
          <w:sz w:val="22"/>
        </w:rPr>
        <w:t>(xi)</w:t>
        <w:tab/>
        <w:t>any other agreement, contract, policy, license, document, instrument, arrangement or commitment (A) having a term of one year or longer, (B) providing for aggregate payments by or to Sellers or any of their Affiliates (singly or together with other related agreements) of $250,000 or more, or (C) that is material to the Business.</w:t>
      </w:r>
    </w:p>
    <w:p>
      <w:pPr>
        <w:pStyle w:val="Normal"/>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/mnt/main-storage/datasets/enron-docs/doc/APA_Citi_Contract_Schedule_Memo.doc</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widowControl w:val="false"/>
      <w:numPr>
        <w:ilvl w:val="1"/>
        <w:numId w:val="1"/>
      </w:numPr>
      <w:tabs>
        <w:tab w:val="clear" w:pos="720"/>
        <w:tab w:val="left" w:pos="2880" w:leader="none"/>
      </w:tabs>
      <w:spacing w:before="0" w:after="240"/>
      <w:ind w:firstLine="1440" w:start="0" w:end="0"/>
      <w:outlineLvl w:val="1"/>
    </w:pPr>
    <w:rPr>
      <w:szCs w:val="20"/>
    </w:rPr>
  </w:style>
  <w:style w:type="paragraph" w:styleId="Heading3">
    <w:name w:val="heading 3"/>
    <w:basedOn w:val="Normal"/>
    <w:next w:val="BodyText"/>
    <w:qFormat/>
    <w:pPr>
      <w:widowControl w:val="false"/>
      <w:numPr>
        <w:ilvl w:val="2"/>
        <w:numId w:val="1"/>
      </w:numPr>
      <w:tabs>
        <w:tab w:val="clear" w:pos="720"/>
        <w:tab w:val="left" w:pos="2160" w:leader="none"/>
      </w:tabs>
      <w:spacing w:before="0" w:after="240"/>
      <w:ind w:firstLine="1440" w:start="0" w:end="0"/>
      <w:outlineLvl w:val="2"/>
    </w:pPr>
    <w:rPr>
      <w:szCs w:val="20"/>
    </w:rPr>
  </w:style>
  <w:style w:type="paragraph" w:styleId="Heading4">
    <w:name w:val="heading 4"/>
    <w:basedOn w:val="Normal"/>
    <w:next w:val="BodyText"/>
    <w:qFormat/>
    <w:pPr>
      <w:widowControl w:val="false"/>
      <w:numPr>
        <w:ilvl w:val="3"/>
        <w:numId w:val="1"/>
      </w:numPr>
      <w:tabs>
        <w:tab w:val="clear" w:pos="720"/>
        <w:tab w:val="left" w:pos="2736" w:leader="none"/>
      </w:tabs>
      <w:spacing w:before="0" w:after="240"/>
      <w:ind w:firstLine="1656" w:start="720" w:end="0"/>
      <w:outlineLvl w:val="3"/>
    </w:pPr>
    <w:rPr>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2002-01-09T10:16:00Z</dcterms:created>
  <dc:creator>mcook</dc:creator>
  <dc:description/>
  <dc:language>en-CA</dc:language>
  <cp:lastModifiedBy>mcook</cp:lastModifiedBy>
  <cp:lastPrinted>2002-01-09T09:11:00Z</cp:lastPrinted>
  <dcterms:modified xsi:type="dcterms:W3CDTF">2002-01-09T12:42:00Z</dcterms:modified>
  <cp:revision>10</cp:revision>
  <dc:subject/>
  <dc:title/>
</cp:coreProperties>
</file>