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4"/>
        </w:rPr>
      </w:pPr>
      <w:bookmarkStart w:id="0" w:name="_1029936073"/>
      <w:bookmarkEnd w:id="0"/>
      <w:r>
        <w:rPr>
          <w:sz w:val="24"/>
        </w:rPr>
        <w:object w:dxaOrig="961" w:dyaOrig="9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8.05pt;height:48.05pt" filled="f" o:ole="">
            <v:imagedata r:id="rId3" o:title=""/>
          </v:shape>
          <o:OLEObject Type="Embed" ProgID="" ShapeID="ole_rId2" DrawAspect="Content" ObjectID="_352679978" r:id="rId2"/>
        </w:object>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 w:val="left" w:pos="558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Bruce Lundstrom</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Rob Walls</w:t>
            </w:r>
          </w:p>
          <w:p>
            <w:pPr>
              <w:pStyle w:val="Normal"/>
              <w:tabs>
                <w:tab w:val="clear" w:pos="720"/>
                <w:tab w:val="left" w:pos="5580" w:leader="none"/>
              </w:tabs>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 w:val="left" w:pos="558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Gail M. Brownfeld</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Bob Williams</w:t>
            </w:r>
          </w:p>
          <w:p>
            <w:pPr>
              <w:pStyle w:val="Normal"/>
              <w:tabs>
                <w:tab w:val="clear" w:pos="720"/>
                <w:tab w:val="left" w:pos="5580" w:leader="none"/>
              </w:tabs>
              <w:rPr>
                <w:rFonts w:ascii="Arial" w:hAnsi="Arial" w:cs="Arial"/>
                <w:sz w:val="24"/>
              </w:rPr>
            </w:pPr>
            <w:r>
              <w:rPr>
                <w:rFonts w:cs="Arial" w:ascii="Arial" w:hAnsi="Arial"/>
                <w:sz w:val="24"/>
              </w:rPr>
            </w:r>
          </w:p>
        </w:tc>
      </w:tr>
      <w:tr>
        <w:trPr/>
        <w:tc>
          <w:tcPr>
            <w:tcW w:w="8118" w:type="dxa"/>
            <w:tcBorders/>
          </w:tcPr>
          <w:p>
            <w:pPr>
              <w:pStyle w:val="Heading7"/>
              <w:tabs>
                <w:tab w:val="left" w:pos="1440" w:leader="none"/>
                <w:tab w:val="left" w:pos="5580" w:leader="none"/>
              </w:tabs>
              <w:ind w:hanging="0" w:start="0"/>
              <w:rPr/>
            </w:pPr>
            <w:r>
              <w:rPr/>
              <w:t>Date:</w:t>
              <w:tab/>
              <w:t>October 16, 2000</w:t>
            </w:r>
          </w:p>
          <w:p>
            <w:pPr>
              <w:pStyle w:val="Normal"/>
              <w:tabs>
                <w:tab w:val="clear" w:pos="720"/>
                <w:tab w:val="left" w:pos="5580" w:leader="none"/>
              </w:tabs>
              <w:rPr>
                <w:rFonts w:ascii="Arial" w:hAnsi="Arial" w:cs="Arial"/>
                <w:sz w:val="24"/>
              </w:rPr>
            </w:pPr>
            <w:r>
              <w:rPr>
                <w:rFonts w:cs="Arial" w:ascii="Arial" w:hAnsi="Arial"/>
                <w:sz w:val="24"/>
              </w:rPr>
            </w:r>
          </w:p>
        </w:tc>
      </w:tr>
      <w:tr>
        <w:trPr>
          <w:trHeight w:val="68" w:hRule="atLeast"/>
        </w:trPr>
        <w:tc>
          <w:tcPr>
            <w:tcW w:w="8118" w:type="dxa"/>
            <w:tcBorders/>
          </w:tcPr>
          <w:p>
            <w:pPr>
              <w:pStyle w:val="Normal"/>
              <w:tabs>
                <w:tab w:val="clear" w:pos="720"/>
                <w:tab w:val="left" w:pos="1440" w:leader="none"/>
                <w:tab w:val="left" w:pos="5580" w:leader="none"/>
              </w:tabs>
              <w:rPr>
                <w:rFonts w:ascii="Arial" w:hAnsi="Arial" w:cs="Arial"/>
                <w:sz w:val="24"/>
              </w:rPr>
            </w:pPr>
            <w:r>
              <w:rPr>
                <w:rFonts w:cs="Arial" w:ascii="Arial" w:hAnsi="Arial"/>
                <w:sz w:val="24"/>
              </w:rPr>
              <w:t>Re:</w:t>
              <w:tab/>
              <w:t>APACHI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Normal"/>
        <w:tabs>
          <w:tab w:val="clear" w:pos="720"/>
          <w:tab w:val="left" w:pos="1080" w:leader="none"/>
          <w:tab w:val="left" w:pos="1170" w:leader="none"/>
          <w:tab w:val="left" w:pos="7740" w:leader="none"/>
          <w:tab w:val="left" w:pos="8370" w:leader="none"/>
        </w:tabs>
        <w:jc w:val="both"/>
        <w:rPr/>
      </w:pPr>
      <w:r>
        <w:rPr>
          <w:rFonts w:cs="Arial" w:ascii="Arial" w:hAnsi="Arial"/>
          <w:sz w:val="24"/>
        </w:rPr>
        <w:tab/>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ind w:start="720" w:end="0"/>
        <w:rPr>
          <w:rFonts w:ascii="Arial" w:hAnsi="Arial" w:cs="Arial"/>
          <w:sz w:val="24"/>
        </w:rPr>
      </w:pPr>
      <w:r>
        <w:rPr>
          <w:rFonts w:cs="Arial" w:ascii="Arial" w:hAnsi="Arial"/>
          <w:sz w:val="24"/>
        </w:rPr>
      </w:r>
    </w:p>
    <w:p>
      <w:pPr>
        <w:pStyle w:val="Normal"/>
        <w:keepNext w:val="true"/>
        <w:keepLines/>
        <w:ind w:start="720" w:end="0"/>
        <w:jc w:val="center"/>
        <w:rPr>
          <w:rFonts w:ascii="Arial" w:hAnsi="Arial" w:cs="Arial"/>
          <w:b/>
          <w:sz w:val="28"/>
          <w:u w:val="single"/>
        </w:rPr>
      </w:pPr>
      <w:r>
        <w:rPr>
          <w:rFonts w:cs="Arial" w:ascii="Arial" w:hAnsi="Arial"/>
          <w:b/>
          <w:sz w:val="28"/>
          <w:u w:val="single"/>
        </w:rPr>
        <w:t>Enron Vietnam</w:t>
      </w:r>
    </w:p>
    <w:p>
      <w:pPr>
        <w:pStyle w:val="Normal"/>
        <w:keepNext w:val="true"/>
        <w:keepLines/>
        <w:ind w:start="720" w:end="0"/>
        <w:rPr>
          <w:rFonts w:ascii="Arial" w:hAnsi="Arial" w:cs="Arial"/>
          <w:b/>
          <w:sz w:val="28"/>
          <w:u w:val="single"/>
        </w:rPr>
      </w:pPr>
      <w:r>
        <w:rPr>
          <w:rFonts w:cs="Arial" w:ascii="Arial" w:hAnsi="Arial"/>
          <w:b/>
          <w:sz w:val="28"/>
          <w:u w:val="single"/>
        </w:rPr>
      </w:r>
    </w:p>
    <w:p>
      <w:pPr>
        <w:pStyle w:val="Normal"/>
        <w:keepNext w:val="true"/>
        <w:keepLines/>
        <w:rPr>
          <w:rFonts w:ascii="Arial" w:hAnsi="Arial" w:cs="Arial"/>
          <w:b/>
          <w:sz w:val="24"/>
        </w:rPr>
      </w:pPr>
      <w:r>
        <w:rPr>
          <w:rFonts w:cs="Arial" w:ascii="Arial" w:hAnsi="Arial"/>
          <w:b/>
          <w:sz w:val="24"/>
        </w:rPr>
        <w:t>I.</w:t>
        <w:tab/>
        <w:t>LITIGATION/ARBITRATION</w:t>
      </w:r>
    </w:p>
    <w:p>
      <w:pPr>
        <w:pStyle w:val="BodyText"/>
        <w:keepNext w:val="true"/>
        <w:keepLines/>
        <w:ind w:start="720" w:end="0"/>
        <w:rPr>
          <w:rFonts w:ascii="Arial" w:hAnsi="Arial" w:cs="Arial"/>
          <w:b/>
          <w:sz w:val="24"/>
        </w:rPr>
      </w:pPr>
      <w:r>
        <w:rPr>
          <w:rFonts w:cs="Arial"/>
          <w:b/>
          <w:sz w:val="24"/>
        </w:rPr>
      </w:r>
    </w:p>
    <w:p>
      <w:pPr>
        <w:pStyle w:val="Normal"/>
        <w:keepNext w:val="true"/>
        <w:keepLines/>
        <w:tabs>
          <w:tab w:val="clear" w:pos="720"/>
          <w:tab w:val="left" w:pos="7740" w:leader="none"/>
        </w:tabs>
        <w:ind w:start="720" w:end="0"/>
        <w:rPr/>
      </w:pPr>
      <w:r>
        <w:rPr>
          <w:rFonts w:cs="Arial" w:ascii="Arial" w:hAnsi="Arial"/>
          <w:b/>
          <w:sz w:val="24"/>
          <w:u w:val="single"/>
        </w:rPr>
        <w:t>Greig Craft and Craft Corporation v.</w:t>
      </w:r>
      <w:r>
        <w:rPr>
          <w:rFonts w:cs="Arial" w:ascii="Arial" w:hAnsi="Arial"/>
          <w:b/>
          <w:sz w:val="24"/>
        </w:rPr>
        <w:tab/>
        <w:t>(Updated)</w:t>
      </w:r>
    </w:p>
    <w:p>
      <w:pPr>
        <w:pStyle w:val="Normal"/>
        <w:keepNext w:val="true"/>
        <w:keepLines/>
        <w:tabs>
          <w:tab w:val="clear" w:pos="720"/>
          <w:tab w:val="left" w:pos="7920" w:leader="none"/>
          <w:tab w:val="left" w:pos="8370" w:leader="none"/>
        </w:tabs>
        <w:ind w:start="720" w:end="0"/>
        <w:rPr>
          <w:rFonts w:ascii="Arial" w:hAnsi="Arial" w:cs="Arial"/>
          <w:b/>
          <w:sz w:val="24"/>
          <w:u w:val="single"/>
        </w:rPr>
      </w:pPr>
      <w:r>
        <w:rPr>
          <w:rFonts w:cs="Arial" w:ascii="Arial" w:hAnsi="Arial"/>
          <w:b/>
          <w:sz w:val="24"/>
          <w:u w:val="single"/>
        </w:rPr>
        <w:t>Enron Development Corp. and Enron Corp.</w:t>
      </w:r>
      <w:r>
        <w:rPr>
          <w:rFonts w:cs="Arial" w:ascii="Arial" w:hAnsi="Arial"/>
          <w:b/>
          <w:sz w:val="24"/>
        </w:rPr>
        <w:tab/>
      </w:r>
    </w:p>
    <w:p>
      <w:pPr>
        <w:pStyle w:val="Normal"/>
        <w:keepNext w:val="true"/>
        <w:keepLines/>
        <w:tabs>
          <w:tab w:val="clear" w:pos="720"/>
          <w:tab w:val="left" w:pos="8370" w:leader="none"/>
        </w:tabs>
        <w:ind w:start="720" w:end="0"/>
        <w:rPr/>
      </w:pPr>
      <w:r>
        <w:rPr>
          <w:rFonts w:cs="Arial" w:ascii="Arial" w:hAnsi="Arial"/>
          <w:sz w:val="24"/>
        </w:rPr>
        <w:t>(80</w:t>
      </w:r>
      <w:r>
        <w:rPr>
          <w:rFonts w:cs="Arial" w:ascii="Arial" w:hAnsi="Arial"/>
          <w:sz w:val="24"/>
          <w:vertAlign w:val="superscript"/>
        </w:rPr>
        <w:t>th</w:t>
      </w:r>
      <w:r>
        <w:rPr>
          <w:rFonts w:cs="Arial" w:ascii="Arial" w:hAnsi="Arial"/>
          <w:sz w:val="24"/>
        </w:rPr>
        <w:t xml:space="preserve"> Judicial District Court, Harris County, Texas) (Lee Godfrey and Kenny Marks/Susman Godfrey) ($3-$25 million)</w:t>
      </w:r>
    </w:p>
    <w:p>
      <w:pPr>
        <w:pStyle w:val="Normal"/>
        <w:keepNext w:val="true"/>
        <w:keepLines/>
        <w:tabs>
          <w:tab w:val="clear" w:pos="720"/>
          <w:tab w:val="left" w:pos="540" w:leader="none"/>
          <w:tab w:val="left" w:pos="8370" w:leader="none"/>
        </w:tabs>
        <w:ind w:hanging="540" w:start="540" w:end="0"/>
        <w:rPr>
          <w:rFonts w:ascii="Arial" w:hAnsi="Arial" w:cs="Arial"/>
          <w:sz w:val="24"/>
        </w:rPr>
      </w:pPr>
      <w:r>
        <w:rPr>
          <w:rFonts w:cs="Arial" w:ascii="Arial" w:hAnsi="Arial"/>
          <w:sz w:val="24"/>
        </w:rPr>
      </w:r>
    </w:p>
    <w:p>
      <w:pPr>
        <w:pStyle w:val="Normal"/>
        <w:keepNext w:val="true"/>
        <w:keepLines/>
        <w:numPr>
          <w:ilvl w:val="0"/>
          <w:numId w:val="2"/>
        </w:numPr>
        <w:tabs>
          <w:tab w:val="clear" w:pos="720"/>
          <w:tab w:val="left" w:pos="1080" w:leader="none"/>
          <w:tab w:val="left" w:pos="8370" w:leader="none"/>
        </w:tabs>
        <w:ind w:hanging="360" w:start="1080" w:end="0"/>
        <w:rPr>
          <w:rFonts w:ascii="Arial" w:hAnsi="Arial" w:cs="Arial"/>
          <w:sz w:val="24"/>
        </w:rPr>
      </w:pPr>
      <w:r>
        <w:rPr>
          <w:rFonts w:cs="Arial" w:ascii="Arial" w:hAnsi="Arial"/>
          <w:sz w:val="24"/>
        </w:rPr>
        <w:t>On August 12, 1999, plaintiff filed suit claiming that Enron breached its promise to participate in a project in Vietnam. Plaintiff claims that Enron employees represented that Enron would provide project financing and that Enron allowed its name to be used in connection with the project.</w:t>
      </w:r>
    </w:p>
    <w:p>
      <w:pPr>
        <w:pStyle w:val="BodyTextIndent3"/>
        <w:numPr>
          <w:ilvl w:val="0"/>
          <w:numId w:val="6"/>
        </w:numPr>
        <w:tabs>
          <w:tab w:val="clear" w:pos="720"/>
          <w:tab w:val="left" w:pos="1080" w:leader="none"/>
        </w:tabs>
        <w:ind w:hanging="360" w:start="1080" w:end="0"/>
        <w:rPr/>
      </w:pPr>
      <w:r>
        <w:rPr/>
        <w:t xml:space="preserve">Plaintiffs’ petition seeks unspecified actual and punitive damages for money allegedly spent in reliance on Enron’s alleged commitment to the project.  Plaintiffs also seek damages for amounts they allegedly would have received if the project had been developed, profits from the project, and reimbursement for expenses incurred in connection with the project. </w:t>
      </w:r>
    </w:p>
    <w:p>
      <w:pPr>
        <w:pStyle w:val="Normal"/>
        <w:numPr>
          <w:ilvl w:val="0"/>
          <w:numId w:val="2"/>
        </w:numPr>
        <w:tabs>
          <w:tab w:val="clear" w:pos="720"/>
          <w:tab w:val="left" w:pos="1080" w:leader="none"/>
          <w:tab w:val="left" w:pos="8370" w:leader="none"/>
        </w:tabs>
        <w:ind w:hanging="360" w:start="1080" w:end="0"/>
        <w:rPr>
          <w:rFonts w:ascii="Arial" w:hAnsi="Arial" w:cs="Arial"/>
          <w:sz w:val="24"/>
        </w:rPr>
      </w:pPr>
      <w:r>
        <w:rPr>
          <w:rFonts w:cs="Arial" w:ascii="Arial" w:hAnsi="Arial"/>
          <w:sz w:val="24"/>
        </w:rPr>
        <w:t>The plaintiffs have added Enron Corp. as a defendant.  An answer was filed on behalf of Enron Corp. on April 7, 2000.</w:t>
      </w:r>
    </w:p>
    <w:p>
      <w:pPr>
        <w:pStyle w:val="BodyTextIndent3"/>
        <w:keepNext w:val="true"/>
        <w:keepLines/>
        <w:numPr>
          <w:ilvl w:val="0"/>
          <w:numId w:val="6"/>
        </w:numPr>
        <w:tabs>
          <w:tab w:val="clear" w:pos="720"/>
          <w:tab w:val="left" w:pos="1080" w:leader="none"/>
        </w:tabs>
        <w:ind w:hanging="360" w:start="1080" w:end="0"/>
        <w:rPr/>
      </w:pPr>
      <w:r>
        <w:rPr/>
        <w:t>Trial has been set for April 9, 2001.</w:t>
      </w:r>
    </w:p>
    <w:p>
      <w:pPr>
        <w:pStyle w:val="BodyTextIndent3"/>
        <w:keepNext w:val="true"/>
        <w:keepLines/>
        <w:numPr>
          <w:ilvl w:val="0"/>
          <w:numId w:val="6"/>
        </w:numPr>
        <w:tabs>
          <w:tab w:val="clear" w:pos="720"/>
          <w:tab w:val="left" w:pos="1080" w:leader="none"/>
        </w:tabs>
        <w:ind w:hanging="360" w:start="1080" w:end="0"/>
        <w:rPr/>
      </w:pPr>
      <w:r>
        <w:rPr/>
        <w:t>Craft has agreed to appear in Houston in August for the continuation of his deposition.</w:t>
      </w:r>
    </w:p>
    <w:p>
      <w:pPr>
        <w:pStyle w:val="BodyTextIndent3"/>
        <w:keepNext w:val="true"/>
        <w:keepLines/>
        <w:numPr>
          <w:ilvl w:val="0"/>
          <w:numId w:val="6"/>
        </w:numPr>
        <w:tabs>
          <w:tab w:val="clear" w:pos="720"/>
          <w:tab w:val="left" w:pos="1080" w:leader="none"/>
        </w:tabs>
        <w:ind w:hanging="360" w:start="1080" w:end="0"/>
        <w:rPr/>
      </w:pPr>
      <w:r>
        <w:rPr/>
        <w:t xml:space="preserve">On August 1, plaintiff made a settlement offer of $430,000. </w:t>
      </w:r>
    </w:p>
    <w:p>
      <w:pPr>
        <w:pStyle w:val="BodyTextIndent3"/>
        <w:keepNext w:val="true"/>
        <w:keepLines/>
        <w:numPr>
          <w:ilvl w:val="0"/>
          <w:numId w:val="6"/>
        </w:numPr>
        <w:tabs>
          <w:tab w:val="clear" w:pos="720"/>
          <w:tab w:val="left" w:pos="1080" w:leader="none"/>
        </w:tabs>
        <w:ind w:hanging="360" w:start="1080" w:end="0"/>
        <w:rPr/>
      </w:pPr>
      <w:r>
        <w:rPr>
          <w:b/>
        </w:rPr>
        <w:t>On October 2, 2000 Enron settled with Craft for $180,000.  The parties are drafting a settlement agreement.</w:t>
      </w:r>
    </w:p>
    <w:p>
      <w:pPr>
        <w:pStyle w:val="BodyText"/>
        <w:rPr/>
      </w:pPr>
      <w:r>
        <w:rPr/>
      </w:r>
    </w:p>
    <w:p>
      <w:pPr>
        <w:pStyle w:val="BodyText"/>
        <w:rPr/>
      </w:pPr>
      <w:r>
        <w:rPr/>
      </w:r>
    </w:p>
    <w:p>
      <w:pPr>
        <w:pStyle w:val="BodyText"/>
        <w:jc w:val="center"/>
        <w:rPr>
          <w:b/>
          <w:sz w:val="28"/>
        </w:rPr>
      </w:pPr>
      <w:r>
        <w:rPr>
          <w:b/>
          <w:sz w:val="28"/>
          <w:u w:val="single"/>
        </w:rPr>
        <w:t>Enron Guam</w:t>
      </w:r>
    </w:p>
    <w:p>
      <w:pPr>
        <w:pStyle w:val="BodyText"/>
        <w:rPr>
          <w:b/>
          <w:sz w:val="28"/>
        </w:rPr>
      </w:pPr>
      <w:r>
        <w:rPr>
          <w:b/>
          <w:sz w:val="28"/>
        </w:rPr>
      </w:r>
    </w:p>
    <w:p>
      <w:pPr>
        <w:pStyle w:val="Heading5"/>
        <w:keepLines/>
        <w:ind w:hanging="0" w:start="0"/>
        <w:rPr/>
      </w:pPr>
      <w:r>
        <w:rPr/>
        <w:t>I.</w:t>
        <w:tab/>
        <w:t>LITIGATION/ARBITRATION</w:t>
      </w:r>
    </w:p>
    <w:p>
      <w:pPr>
        <w:pStyle w:val="BodyText"/>
        <w:rPr>
          <w:sz w:val="28"/>
        </w:rPr>
      </w:pPr>
      <w:r>
        <w:rPr>
          <w:sz w:val="28"/>
        </w:rPr>
      </w:r>
    </w:p>
    <w:p>
      <w:pPr>
        <w:pStyle w:val="BodyText"/>
        <w:keepNext w:val="true"/>
        <w:keepLines/>
        <w:tabs>
          <w:tab w:val="clear" w:pos="720"/>
          <w:tab w:val="left" w:pos="7740" w:leader="none"/>
        </w:tabs>
        <w:ind w:start="720" w:end="0"/>
        <w:rPr/>
      </w:pPr>
      <w:r>
        <w:rPr>
          <w:b/>
          <w:u w:val="single"/>
        </w:rPr>
        <w:t>General Turbine Systems, Inc. v. Enron Operation</w:t>
      </w:r>
      <w:r>
        <w:rPr>
          <w:b/>
        </w:rPr>
        <w:tab/>
        <w:t>(Not Updated)</w:t>
      </w:r>
    </w:p>
    <w:p>
      <w:pPr>
        <w:pStyle w:val="BodyText"/>
        <w:keepNext w:val="true"/>
        <w:keepLines/>
        <w:tabs>
          <w:tab w:val="clear" w:pos="720"/>
          <w:tab w:val="left" w:pos="7740" w:leader="none"/>
        </w:tabs>
        <w:ind w:start="720" w:end="0"/>
        <w:rPr>
          <w:b/>
          <w:u w:val="single"/>
        </w:rPr>
      </w:pPr>
      <w:r>
        <w:rPr>
          <w:b/>
          <w:u w:val="single"/>
        </w:rPr>
        <w:t>Services Corp., Enron Operations Corp., and Enron Corp.</w:t>
      </w:r>
    </w:p>
    <w:p>
      <w:pPr>
        <w:pStyle w:val="BodyText"/>
        <w:keepNext w:val="true"/>
        <w:keepLines/>
        <w:tabs>
          <w:tab w:val="clear" w:pos="720"/>
          <w:tab w:val="left" w:pos="7740" w:leader="none"/>
        </w:tabs>
        <w:ind w:start="720" w:end="0"/>
        <w:rPr/>
      </w:pPr>
      <w:r>
        <w:rPr/>
        <w:t>(80</w:t>
      </w:r>
      <w:r>
        <w:rPr>
          <w:vertAlign w:val="superscript"/>
        </w:rPr>
        <w:t>th</w:t>
      </w:r>
      <w:r>
        <w:rPr/>
        <w:t xml:space="preserve"> Judicial District Court, Harris County, Texas) (Jean Frizzell/Gibbs &amp; Bruns) </w:t>
      </w:r>
    </w:p>
    <w:p>
      <w:pPr>
        <w:pStyle w:val="BodyText"/>
        <w:keepNext w:val="true"/>
        <w:keepLines/>
        <w:tabs>
          <w:tab w:val="clear" w:pos="720"/>
          <w:tab w:val="left" w:pos="7740" w:leader="none"/>
        </w:tabs>
        <w:ind w:start="720" w:end="0"/>
        <w:rPr/>
      </w:pPr>
      <w:r>
        <w:rPr/>
        <w:t>(in excess of $25 million)</w:t>
      </w:r>
    </w:p>
    <w:p>
      <w:pPr>
        <w:pStyle w:val="BodyText"/>
        <w:keepNext w:val="true"/>
        <w:keepLines/>
        <w:tabs>
          <w:tab w:val="clear" w:pos="720"/>
          <w:tab w:val="left" w:pos="7740" w:leader="none"/>
        </w:tabs>
        <w:ind w:start="720" w:end="0"/>
        <w:rPr/>
      </w:pPr>
      <w:r>
        <w:rPr/>
      </w:r>
    </w:p>
    <w:p>
      <w:pPr>
        <w:pStyle w:val="Normal"/>
        <w:numPr>
          <w:ilvl w:val="0"/>
          <w:numId w:val="9"/>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On July 25, 2000, General Turbine Systems, Inc. (owned by Sajjad Chaudhry) was served with this lawsuit in which plaintiff</w:t>
      </w:r>
      <w:r>
        <w:rPr>
          <w:rFonts w:cs="Arial" w:ascii="Arial" w:hAnsi="Arial"/>
          <w:b/>
          <w:color w:val="000000"/>
          <w:sz w:val="24"/>
        </w:rPr>
        <w:t xml:space="preserve"> </w:t>
      </w:r>
      <w:r>
        <w:rPr>
          <w:rFonts w:cs="Arial" w:ascii="Arial" w:hAnsi="Arial"/>
          <w:color w:val="000000"/>
          <w:sz w:val="24"/>
        </w:rPr>
        <w:t xml:space="preserve">alleges that Enron breached a letter agreement to award it an O&amp;M contract for its power plant in Guam or to pay it a "finder's fee" for its assistance in procuring the project.  Plaintiff also claims it was entitled to receive a demolition contract.  </w:t>
      </w:r>
    </w:p>
    <w:p>
      <w:pPr>
        <w:pStyle w:val="Normal"/>
        <w:numPr>
          <w:ilvl w:val="0"/>
          <w:numId w:val="9"/>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The Petition seeks an award of damages as follows:  (1)  $16 million, the estimated profit on the O&amp;M contract for the Piti Power Plant project; (2)  a finder's fee equal to 7% of the value of the Piti Power Plant project;;  (3)  $7,000,000, the estimated profit of another contract (for demolition work) which GTS claims it should have received as an alternative to the O&amp;M contract; and (4)  other unquantified special, compensatory, and punitive damages.</w:t>
      </w:r>
    </w:p>
    <w:p>
      <w:pPr>
        <w:pStyle w:val="Normal"/>
        <w:numPr>
          <w:ilvl w:val="0"/>
          <w:numId w:val="9"/>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The letter agreement contemplated that Enron would be awarded the O&amp;M contract for the Piti Power Plant project, and that GTS would receive a subcontract.  What eventually happened is that the O&amp;M effort failed, but another Enron group bid upon, and was awarded, the right to build, own, and operate the Piti Power Plant project.  </w:t>
      </w:r>
    </w:p>
    <w:p>
      <w:pPr>
        <w:pStyle w:val="Normal"/>
        <w:numPr>
          <w:ilvl w:val="0"/>
          <w:numId w:val="9"/>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Enron has filed its answer and discovery has begun.</w:t>
      </w:r>
    </w:p>
    <w:p>
      <w:pPr>
        <w:pStyle w:val="BodyText"/>
        <w:rPr>
          <w:rFonts w:ascii="Arial" w:hAnsi="Arial" w:cs="Arial"/>
          <w:color w:val="000000"/>
          <w:sz w:val="28"/>
        </w:rPr>
      </w:pPr>
      <w:r>
        <w:rPr>
          <w:rFonts w:cs="Arial"/>
          <w:color w:val="000000"/>
          <w:sz w:val="28"/>
        </w:rPr>
      </w:r>
    </w:p>
    <w:p>
      <w:pPr>
        <w:pStyle w:val="BodyText"/>
        <w:rPr>
          <w:sz w:val="28"/>
        </w:rPr>
      </w:pPr>
      <w:r>
        <w:rPr>
          <w:sz w:val="28"/>
        </w:rPr>
      </w:r>
    </w:p>
    <w:p>
      <w:pPr>
        <w:pStyle w:val="BodyText"/>
        <w:keepNext w:val="true"/>
        <w:keepLines/>
        <w:jc w:val="center"/>
        <w:rPr>
          <w:b/>
          <w:sz w:val="28"/>
          <w:u w:val="single"/>
        </w:rPr>
      </w:pPr>
      <w:r>
        <w:rPr>
          <w:b/>
          <w:sz w:val="28"/>
          <w:u w:val="single"/>
        </w:rPr>
        <w:t>Batangas Power Corp.</w:t>
      </w:r>
    </w:p>
    <w:p>
      <w:pPr>
        <w:pStyle w:val="BodyText"/>
        <w:keepNext w:val="true"/>
        <w:keepLines/>
        <w:jc w:val="center"/>
        <w:rPr/>
      </w:pPr>
      <w:r>
        <w:rPr/>
        <w:t>(Phillipines)</w:t>
      </w:r>
    </w:p>
    <w:p>
      <w:pPr>
        <w:pStyle w:val="BodyText"/>
        <w:keepNext w:val="true"/>
        <w:keepLines/>
        <w:jc w:val="center"/>
        <w:rPr>
          <w:sz w:val="26"/>
          <w:u w:val="single"/>
        </w:rPr>
      </w:pPr>
      <w:r>
        <w:rPr>
          <w:sz w:val="26"/>
          <w:u w:val="single"/>
        </w:rPr>
      </w:r>
    </w:p>
    <w:p>
      <w:pPr>
        <w:pStyle w:val="BodyText"/>
        <w:keepNext w:val="true"/>
        <w:keepLines/>
        <w:jc w:val="start"/>
        <w:rPr>
          <w:b/>
        </w:rPr>
      </w:pPr>
      <w:r>
        <w:rPr>
          <w:b/>
        </w:rPr>
        <w:t>I.</w:t>
        <w:tab/>
        <w:t>LITIGATION/ARBITRATION</w:t>
      </w:r>
    </w:p>
    <w:p>
      <w:pPr>
        <w:pStyle w:val="Normal"/>
        <w:keepNext w:val="true"/>
        <w:keepLines/>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rPr/>
      </w:pPr>
      <w:r>
        <w:rPr>
          <w:rFonts w:cs="Arial" w:ascii="Arial" w:hAnsi="Arial"/>
          <w:b/>
          <w:sz w:val="24"/>
          <w:u w:val="single"/>
        </w:rPr>
        <w:t>Batangas Power Corp. v. Nixon B. Caalam</w:t>
      </w:r>
      <w:r>
        <w:rPr>
          <w:rFonts w:cs="Arial" w:ascii="Arial" w:hAnsi="Arial"/>
          <w:b/>
          <w:sz w:val="24"/>
        </w:rPr>
        <w:tab/>
        <w:t>(Not Updated)</w:t>
      </w:r>
    </w:p>
    <w:p>
      <w:pPr>
        <w:pStyle w:val="BodyText3"/>
        <w:keepNext w:val="true"/>
        <w:keepLines/>
        <w:tabs>
          <w:tab w:val="clear" w:pos="1440"/>
          <w:tab w:val="left" w:pos="7740" w:leader="none"/>
          <w:tab w:val="left" w:pos="7920" w:leader="none"/>
          <w:tab w:val="left" w:pos="8370" w:leader="none"/>
        </w:tabs>
        <w:ind w:start="720" w:end="0"/>
        <w:rPr/>
      </w:pPr>
      <w:r>
        <w:rPr/>
        <w:t>(Metropolitan Trial Court, Makati City) (Arthur Autea/Baker &amp; McKenzie) (PHP235,600/US$5,291)</w:t>
      </w:r>
    </w:p>
    <w:p>
      <w:pPr>
        <w:pStyle w:val="Normal"/>
        <w:keepNext w:val="true"/>
        <w:keepLines/>
        <w:tabs>
          <w:tab w:val="clear" w:pos="720"/>
          <w:tab w:val="left" w:pos="1080" w:leader="none"/>
          <w:tab w:val="left" w:pos="1170" w:leader="none"/>
          <w:tab w:val="left" w:pos="1440" w:leader="none"/>
          <w:tab w:val="left" w:pos="7740" w:leader="none"/>
          <w:tab w:val="left" w:pos="7920" w:leader="none"/>
          <w:tab w:val="left" w:pos="8370" w:leader="none"/>
        </w:tabs>
        <w:ind w:start="720" w:end="0"/>
        <w:rPr>
          <w:rFonts w:ascii="Arial" w:hAnsi="Arial" w:cs="Arial"/>
          <w:b/>
          <w:sz w:val="24"/>
        </w:rPr>
      </w:pPr>
      <w:r>
        <w:rPr>
          <w:rFonts w:cs="Arial" w:ascii="Arial" w:hAnsi="Arial"/>
          <w:b/>
          <w:sz w:val="24"/>
        </w:rPr>
      </w:r>
    </w:p>
    <w:p>
      <w:pPr>
        <w:pStyle w:val="Normal"/>
        <w:keepNext w:val="true"/>
        <w:keepLines/>
        <w:numPr>
          <w:ilvl w:val="0"/>
          <w:numId w:val="8"/>
        </w:numPr>
        <w:tabs>
          <w:tab w:val="clear" w:pos="720"/>
          <w:tab w:val="left" w:pos="1080" w:leader="none"/>
        </w:tabs>
        <w:ind w:hanging="360" w:start="1080" w:end="0"/>
        <w:rPr>
          <w:rFonts w:ascii="Arial" w:hAnsi="Arial" w:cs="Arial"/>
          <w:sz w:val="24"/>
        </w:rPr>
      </w:pPr>
      <w:r>
        <w:rPr>
          <w:rFonts w:cs="Arial" w:ascii="Arial" w:hAnsi="Arial"/>
          <w:sz w:val="24"/>
        </w:rPr>
        <w:t xml:space="preserve">On October 28, 1999, Batangas filed a collection claim against Nixon B. Caalam.  </w:t>
      </w:r>
    </w:p>
    <w:p>
      <w:pPr>
        <w:pStyle w:val="Normal"/>
        <w:numPr>
          <w:ilvl w:val="0"/>
          <w:numId w:val="8"/>
        </w:numPr>
        <w:tabs>
          <w:tab w:val="clear" w:pos="720"/>
          <w:tab w:val="left" w:pos="1080" w:leader="none"/>
        </w:tabs>
        <w:ind w:hanging="360" w:start="1080" w:end="0"/>
        <w:rPr>
          <w:rFonts w:ascii="Arial" w:hAnsi="Arial" w:cs="Arial"/>
          <w:sz w:val="24"/>
        </w:rPr>
      </w:pPr>
      <w:r>
        <w:rPr>
          <w:rFonts w:cs="Arial" w:ascii="Arial" w:hAnsi="Arial"/>
          <w:sz w:val="24"/>
        </w:rPr>
        <w:t>Caalam is a former employee who resigned without repaying certain cash advances.</w:t>
      </w:r>
    </w:p>
    <w:p>
      <w:pPr>
        <w:pStyle w:val="Normal"/>
        <w:numPr>
          <w:ilvl w:val="0"/>
          <w:numId w:val="8"/>
        </w:numPr>
        <w:tabs>
          <w:tab w:val="clear" w:pos="720"/>
          <w:tab w:val="left" w:pos="1080" w:leader="none"/>
        </w:tabs>
        <w:ind w:hanging="360" w:start="1080" w:end="0"/>
        <w:rPr>
          <w:rFonts w:ascii="Arial" w:hAnsi="Arial" w:cs="Arial"/>
          <w:sz w:val="24"/>
        </w:rPr>
      </w:pPr>
      <w:r>
        <w:rPr>
          <w:rFonts w:cs="Arial" w:ascii="Arial" w:hAnsi="Arial"/>
          <w:sz w:val="24"/>
        </w:rPr>
        <w:t>At the September 8, 2000 pretrial conference, the court ordered that evidence be presented on November 10, 17, 24 and December 8.</w:t>
      </w:r>
    </w:p>
    <w:p>
      <w:pPr>
        <w:pStyle w:val="Normal"/>
        <w:tabs>
          <w:tab w:val="clear" w:pos="720"/>
          <w:tab w:val="left" w:pos="1170" w:leader="none"/>
          <w:tab w:val="left" w:pos="1440" w:leader="none"/>
          <w:tab w:val="left" w:pos="7740" w:leader="none"/>
          <w:tab w:val="left" w:pos="8370" w:leader="none"/>
        </w:tabs>
        <w:rPr>
          <w:rFonts w:ascii="Arial" w:hAnsi="Arial" w:cs="Arial"/>
          <w:sz w:val="24"/>
        </w:rPr>
      </w:pPr>
      <w:r>
        <w:rPr>
          <w:rFonts w:cs="Arial" w:ascii="Arial" w:hAnsi="Arial"/>
          <w:sz w:val="24"/>
        </w:rPr>
      </w:r>
    </w:p>
    <w:p>
      <w:pPr>
        <w:pStyle w:val="Normal"/>
        <w:tabs>
          <w:tab w:val="clear" w:pos="720"/>
          <w:tab w:val="left" w:pos="1170" w:leader="none"/>
          <w:tab w:val="left" w:pos="1440" w:leader="none"/>
          <w:tab w:val="left" w:pos="7740" w:leader="none"/>
          <w:tab w:val="left" w:pos="8370" w:leader="none"/>
        </w:tabs>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Batangas Power Corp. v. Batangas City et al.</w:t>
      </w:r>
      <w:r>
        <w:rPr>
          <w:rFonts w:cs="Arial" w:ascii="Arial" w:hAnsi="Arial"/>
          <w:b/>
          <w:sz w:val="24"/>
        </w:rPr>
        <w:tab/>
        <w:t>(Not Updated)</w:t>
      </w:r>
    </w:p>
    <w:p>
      <w:pPr>
        <w:pStyle w:val="Normal"/>
        <w:tabs>
          <w:tab w:val="clear" w:pos="720"/>
          <w:tab w:val="left" w:pos="7740" w:leader="none"/>
        </w:tabs>
        <w:ind w:start="720" w:end="0"/>
        <w:rPr>
          <w:rFonts w:ascii="Arial" w:hAnsi="Arial" w:cs="Arial"/>
          <w:sz w:val="24"/>
        </w:rPr>
      </w:pPr>
      <w:r>
        <w:rPr>
          <w:rFonts w:cs="Arial" w:ascii="Arial" w:hAnsi="Arial"/>
          <w:sz w:val="24"/>
        </w:rPr>
        <w:t xml:space="preserve">(Regional Trial Court, Makati City) (Arthur Autea/Baker &amp; McKenzie) (PHP34,551,543/US$834,578) </w:t>
      </w:r>
    </w:p>
    <w:p>
      <w:pPr>
        <w:pStyle w:val="Normal"/>
        <w:tabs>
          <w:tab w:val="clear" w:pos="720"/>
          <w:tab w:val="left" w:pos="1170" w:leader="none"/>
          <w:tab w:val="left" w:pos="1440" w:leader="none"/>
          <w:tab w:val="left" w:pos="7740" w:leader="none"/>
          <w:tab w:val="left" w:pos="8370" w:leader="none"/>
        </w:tabs>
        <w:ind w:start="720" w:end="0"/>
        <w:rPr>
          <w:rFonts w:ascii="Arial" w:hAnsi="Arial" w:cs="Arial"/>
          <w:sz w:val="24"/>
        </w:rPr>
      </w:pPr>
      <w:r>
        <w:rPr>
          <w:rFonts w:cs="Arial" w:ascii="Arial" w:hAnsi="Arial"/>
          <w:sz w:val="24"/>
        </w:rPr>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The City of Batangas claims BPC owes business taxes, penalties, and other related charges.</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BPC claims the tax is not owed and, even if owed, it is owed by National Power Corporation ("NPC") under an agreement between NPC and BPC.</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NPC has acknowledged liability for the tax but has refused to pay it because it claims that its charter exempts it from paying taxes.</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BPC filed a claim for declaratory relief seeking a declaration that: (I) NPC is exempt from taxes; and (2) the City's tax is an indirect tax.</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BPC has amended its petition and has added a claim for injunctive relief based on the City's failure to issue a permit to BPC based on BPC's refusal to pay the tax in question.</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The City has opposed BPC's amended petition.  BPC has replied to this opposition.  We await the court's decision on the City's motion to dismiss BPC's amended petition.</w:t>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Normal"/>
        <w:tabs>
          <w:tab w:val="clear" w:pos="720"/>
          <w:tab w:val="left" w:pos="1170" w:leader="none"/>
          <w:tab w:val="left" w:pos="1440" w:leader="none"/>
          <w:tab w:val="left" w:pos="7740" w:leader="none"/>
          <w:tab w:val="left" w:pos="8370" w:leader="none"/>
        </w:tabs>
        <w:rPr>
          <w:rFonts w:ascii="Arial" w:hAnsi="Arial" w:cs="Arial"/>
          <w:sz w:val="24"/>
        </w:rPr>
      </w:pPr>
      <w:r>
        <w:rPr>
          <w:rFonts w:cs="Arial" w:ascii="Arial" w:hAnsi="Arial"/>
          <w:sz w:val="24"/>
        </w:rPr>
      </w:r>
    </w:p>
    <w:p>
      <w:pPr>
        <w:pStyle w:val="BodyText3"/>
        <w:keepNext w:val="true"/>
        <w:keepLines/>
        <w:tabs>
          <w:tab w:val="clear" w:pos="1440"/>
          <w:tab w:val="clear" w:pos="8370"/>
        </w:tabs>
        <w:ind w:start="720" w:end="0"/>
        <w:jc w:val="center"/>
        <w:rPr>
          <w:b/>
          <w:sz w:val="28"/>
          <w:u w:val="single"/>
        </w:rPr>
      </w:pPr>
      <w:r>
        <w:rPr>
          <w:b/>
          <w:sz w:val="28"/>
          <w:u w:val="single"/>
        </w:rPr>
        <w:t>Enron Thailand</w:t>
      </w:r>
    </w:p>
    <w:p>
      <w:pPr>
        <w:pStyle w:val="Normal"/>
        <w:keepNext w:val="true"/>
        <w:keepLines/>
        <w:jc w:val="both"/>
        <w:rPr>
          <w:rFonts w:ascii="Arial" w:hAnsi="Arial" w:cs="Arial"/>
          <w:b/>
          <w:sz w:val="24"/>
          <w:u w:val="single"/>
        </w:rPr>
      </w:pPr>
      <w:r>
        <w:rPr>
          <w:rFonts w:cs="Arial" w:ascii="Arial" w:hAnsi="Arial"/>
          <w:b/>
          <w:sz w:val="24"/>
          <w:u w:val="single"/>
        </w:rPr>
      </w:r>
    </w:p>
    <w:p>
      <w:pPr>
        <w:pStyle w:val="Heading6"/>
        <w:keepLines/>
        <w:ind w:hanging="0" w:start="0"/>
        <w:rPr/>
      </w:pPr>
      <w:r>
        <w:rPr/>
        <w:t>I.</w:t>
        <w:tab/>
        <w:t>LITIGATION/ARBITRATION</w:t>
      </w:r>
    </w:p>
    <w:p>
      <w:pPr>
        <w:pStyle w:val="Normal"/>
        <w:keepNext w:val="true"/>
        <w:keepLines/>
        <w:jc w:val="both"/>
        <w:rPr>
          <w:rFonts w:ascii="Arial" w:hAnsi="Arial" w:cs="Arial"/>
          <w:sz w:val="24"/>
        </w:rPr>
      </w:pPr>
      <w:r>
        <w:rPr>
          <w:rFonts w:cs="Arial" w:ascii="Arial" w:hAnsi="Arial"/>
          <w:sz w:val="24"/>
        </w:rPr>
      </w:r>
    </w:p>
    <w:p>
      <w:pPr>
        <w:pStyle w:val="Heading6"/>
        <w:keepLines/>
        <w:tabs>
          <w:tab w:val="clear" w:pos="720"/>
          <w:tab w:val="left" w:pos="7740" w:leader="none"/>
        </w:tabs>
        <w:ind w:hanging="0" w:start="720" w:end="0"/>
        <w:rPr/>
      </w:pPr>
      <w:r>
        <w:rPr>
          <w:u w:val="single"/>
        </w:rPr>
        <w:t>Petro Asia International Corporation Co., Ltd. v.</w:t>
      </w:r>
      <w:r>
        <w:rPr/>
        <w:tab/>
        <w:t>(Updated)</w:t>
      </w:r>
    </w:p>
    <w:p>
      <w:pPr>
        <w:pStyle w:val="Heading6"/>
        <w:keepLines/>
        <w:tabs>
          <w:tab w:val="clear" w:pos="720"/>
          <w:tab w:val="left" w:pos="7920" w:leader="none"/>
          <w:tab w:val="left" w:pos="8370" w:leader="none"/>
        </w:tabs>
        <w:ind w:hanging="0" w:start="720" w:end="0"/>
        <w:rPr>
          <w:u w:val="single"/>
        </w:rPr>
      </w:pPr>
      <w:r>
        <w:rPr>
          <w:u w:val="single"/>
        </w:rPr>
        <w:t>Thai Industrial Estate Co., Ltd.</w:t>
      </w:r>
    </w:p>
    <w:p>
      <w:pPr>
        <w:pStyle w:val="BodyText"/>
        <w:keepNext w:val="true"/>
        <w:keepLines/>
        <w:tabs>
          <w:tab w:val="clear" w:pos="720"/>
          <w:tab w:val="left" w:pos="7740" w:leader="none"/>
          <w:tab w:val="left" w:pos="8370" w:leader="none"/>
        </w:tabs>
        <w:ind w:start="720" w:end="0"/>
        <w:rPr/>
      </w:pPr>
      <w:r>
        <w:rPr/>
        <w:t>(The South Bangkok Civil Court) (International Legal Counsellors Thailand Ltd.) (Baht 322,678,082.18/US$7.9 million) (Enron’s Interest: 35%)</w:t>
      </w:r>
    </w:p>
    <w:p>
      <w:pPr>
        <w:pStyle w:val="BodyText"/>
        <w:keepNext w:val="true"/>
        <w:keepLines/>
        <w:tabs>
          <w:tab w:val="clear" w:pos="720"/>
          <w:tab w:val="left" w:pos="1080" w:leader="none"/>
          <w:tab w:val="left" w:pos="1170" w:leader="none"/>
          <w:tab w:val="left" w:pos="7740" w:leader="none"/>
          <w:tab w:val="left" w:pos="8370" w:leader="none"/>
        </w:tabs>
        <w:rPr/>
      </w:pPr>
      <w:r>
        <w:rPr/>
      </w:r>
    </w:p>
    <w:p>
      <w:pPr>
        <w:pStyle w:val="BodyText"/>
        <w:keepNext w:val="true"/>
        <w:keepLines/>
        <w:numPr>
          <w:ilvl w:val="0"/>
          <w:numId w:val="10"/>
        </w:numPr>
        <w:tabs>
          <w:tab w:val="clear" w:pos="720"/>
          <w:tab w:val="left" w:pos="1080" w:leader="none"/>
        </w:tabs>
        <w:ind w:hanging="360" w:start="1080" w:end="0"/>
        <w:jc w:val="start"/>
        <w:rPr/>
      </w:pPr>
      <w:r>
        <w:rPr/>
        <w:t xml:space="preserve">In connection with a bid, Enron and its partners (plaintiff) paid the Thai Industrial Estate Corporation for certain land with the understanding that if plaintiff did not win the bid, the money was to be repaid.  Plaintiff did not win the bid, but the money has not been repaid.  </w:t>
      </w:r>
    </w:p>
    <w:p>
      <w:pPr>
        <w:pStyle w:val="BodyText"/>
        <w:numPr>
          <w:ilvl w:val="0"/>
          <w:numId w:val="11"/>
        </w:numPr>
        <w:tabs>
          <w:tab w:val="clear" w:pos="720"/>
          <w:tab w:val="left" w:pos="1080" w:leader="none"/>
        </w:tabs>
        <w:ind w:hanging="360" w:start="1080" w:end="0"/>
        <w:jc w:val="start"/>
        <w:rPr/>
      </w:pPr>
      <w:r>
        <w:rPr/>
        <w:t xml:space="preserve">On September 18, 1998, suit was filed to recover this money. </w:t>
      </w:r>
    </w:p>
    <w:p>
      <w:pPr>
        <w:pStyle w:val="BodyText"/>
        <w:numPr>
          <w:ilvl w:val="0"/>
          <w:numId w:val="11"/>
        </w:numPr>
        <w:tabs>
          <w:tab w:val="clear" w:pos="720"/>
          <w:tab w:val="left" w:pos="1080" w:leader="none"/>
        </w:tabs>
        <w:ind w:hanging="360" w:start="1080" w:end="0"/>
        <w:jc w:val="start"/>
        <w:rPr/>
      </w:pPr>
      <w:r>
        <w:rPr>
          <w:b/>
          <w:color w:val="000000"/>
        </w:rPr>
        <w:t>This matter has been settled for 117,000,000 Baht (US$2,925,000) to Enron’s interest (approximately 100% of the amount of the claim)</w:t>
      </w:r>
      <w:r>
        <w:rPr>
          <w:color w:val="000000"/>
        </w:rPr>
        <w:t>.  This settlement will only be effective once judgment has been entered on the settlement and the real property security is in hand.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3"/>
        <w:keepNext w:val="true"/>
        <w:keepLines/>
        <w:tabs>
          <w:tab w:val="clear" w:pos="1440"/>
          <w:tab w:val="clear" w:pos="8370"/>
        </w:tabs>
        <w:ind w:start="720" w:end="0"/>
        <w:jc w:val="center"/>
        <w:rPr>
          <w:b/>
          <w:sz w:val="28"/>
          <w:u w:val="single"/>
        </w:rPr>
      </w:pPr>
      <w:r>
        <w:rPr>
          <w:b/>
          <w:sz w:val="28"/>
          <w:u w:val="single"/>
        </w:rPr>
        <w:t>Enron Southern Africa Development Ltd.</w:t>
      </w:r>
    </w:p>
    <w:p>
      <w:pPr>
        <w:pStyle w:val="BodyText3"/>
        <w:keepNext w:val="true"/>
        <w:keepLines/>
        <w:tabs>
          <w:tab w:val="clear" w:pos="1440"/>
          <w:tab w:val="clear" w:pos="8370"/>
        </w:tabs>
        <w:ind w:start="720" w:end="0"/>
        <w:jc w:val="center"/>
        <w:rPr/>
      </w:pPr>
      <w:r>
        <w:rPr/>
        <w:t>(Mozambique)</w:t>
      </w:r>
    </w:p>
    <w:p>
      <w:pPr>
        <w:pStyle w:val="Normal"/>
        <w:jc w:val="both"/>
        <w:rPr>
          <w:rFonts w:ascii="Arial" w:hAnsi="Arial" w:cs="Arial"/>
          <w:sz w:val="24"/>
        </w:rPr>
      </w:pPr>
      <w:r>
        <w:rPr>
          <w:rFonts w:cs="Arial" w:ascii="Arial" w:hAnsi="Arial"/>
          <w:sz w:val="24"/>
        </w:rPr>
      </w:r>
    </w:p>
    <w:p>
      <w:pPr>
        <w:pStyle w:val="Heading5"/>
        <w:numPr>
          <w:ilvl w:val="0"/>
          <w:numId w:val="14"/>
        </w:numPr>
        <w:rPr/>
      </w:pPr>
      <w:r>
        <w:rPr/>
        <w:t>LITIGATION/ARBITRATION</w:t>
      </w:r>
    </w:p>
    <w:p>
      <w:pPr>
        <w:pStyle w:val="Heading5"/>
        <w:ind w:hanging="0" w:start="0"/>
        <w:rPr/>
      </w:pPr>
      <w:r>
        <w:rPr/>
      </w:r>
    </w:p>
    <w:p>
      <w:pPr>
        <w:pStyle w:val="Normal"/>
        <w:ind w:start="720" w:end="0"/>
        <w:rPr>
          <w:rFonts w:ascii="Arial" w:hAnsi="Arial" w:cs="Arial"/>
          <w:sz w:val="24"/>
        </w:rPr>
      </w:pPr>
      <w:r>
        <w:rPr>
          <w:rFonts w:cs="Arial" w:ascii="Arial" w:hAnsi="Arial"/>
          <w:sz w:val="24"/>
        </w:rPr>
        <w:t>None</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5"/>
        <w:ind w:hanging="0" w:start="0"/>
        <w:rPr/>
      </w:pPr>
      <w:r>
        <w:rPr/>
        <w:t>II.</w:t>
        <w:tab/>
        <w:t>CLAIMS/DISPUTES</w:t>
      </w:r>
    </w:p>
    <w:p>
      <w:pPr>
        <w:pStyle w:val="Normal"/>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b/>
          <w:sz w:val="24"/>
        </w:rPr>
      </w:pPr>
      <w:r>
        <w:rPr>
          <w:rFonts w:cs="Arial" w:ascii="Arial" w:hAnsi="Arial"/>
          <w:b/>
          <w:sz w:val="24"/>
        </w:rPr>
        <w:t>Friedman Associates Dispute</w:t>
        <w:tab/>
        <w:t>(Updated)</w:t>
      </w:r>
    </w:p>
    <w:p>
      <w:pPr>
        <w:pStyle w:val="BodyText"/>
        <w:tabs>
          <w:tab w:val="clear" w:pos="720"/>
          <w:tab w:val="left" w:pos="1080" w:leader="none"/>
          <w:tab w:val="left" w:pos="1170" w:leader="none"/>
          <w:tab w:val="left" w:pos="7740" w:leader="none"/>
          <w:tab w:val="left" w:pos="8370" w:leader="none"/>
        </w:tabs>
        <w:ind w:start="720" w:end="0"/>
        <w:rPr/>
      </w:pPr>
      <w:r>
        <w:rPr/>
        <w:t xml:space="preserve">(Mark Wawro/Susman Godfrey) ($5-$10 million) </w:t>
      </w:r>
    </w:p>
    <w:p>
      <w:pPr>
        <w:pStyle w:val="Normal"/>
        <w:tabs>
          <w:tab w:val="clear" w:pos="720"/>
          <w:tab w:val="left" w:pos="7380" w:leader="none"/>
        </w:tabs>
        <w:ind w:start="720" w:end="0"/>
        <w:rPr>
          <w:rFonts w:ascii="Arial" w:hAnsi="Arial" w:cs="Arial"/>
          <w:sz w:val="24"/>
        </w:rPr>
      </w:pPr>
      <w:r>
        <w:rPr>
          <w:rFonts w:cs="Arial" w:ascii="Arial" w:hAnsi="Arial"/>
          <w:sz w:val="24"/>
        </w:rPr>
      </w:r>
    </w:p>
    <w:p>
      <w:pPr>
        <w:pStyle w:val="Normal"/>
        <w:numPr>
          <w:ilvl w:val="0"/>
          <w:numId w:val="3"/>
        </w:numPr>
        <w:tabs>
          <w:tab w:val="clear" w:pos="720"/>
          <w:tab w:val="left" w:pos="1080" w:leader="none"/>
          <w:tab w:val="left" w:pos="7380" w:leader="none"/>
        </w:tabs>
        <w:ind w:hanging="360" w:start="1080" w:end="0"/>
        <w:rPr>
          <w:rFonts w:ascii="Arial" w:hAnsi="Arial" w:cs="Arial"/>
          <w:sz w:val="24"/>
        </w:rPr>
      </w:pPr>
      <w:r>
        <w:rPr>
          <w:rFonts w:cs="Arial" w:ascii="Arial" w:hAnsi="Arial"/>
          <w:sz w:val="24"/>
        </w:rPr>
        <w:t>Friedman Associates claims that it is entitled to compensation under a consulting agreement for work done in connection with the development of the Pande Gas pipeline project.</w:t>
      </w:r>
    </w:p>
    <w:p>
      <w:pPr>
        <w:pStyle w:val="Normal"/>
        <w:numPr>
          <w:ilvl w:val="0"/>
          <w:numId w:val="3"/>
        </w:numPr>
        <w:tabs>
          <w:tab w:val="clear" w:pos="720"/>
          <w:tab w:val="left" w:pos="1080" w:leader="none"/>
          <w:tab w:val="left" w:pos="7380" w:leader="none"/>
        </w:tabs>
        <w:ind w:hanging="360" w:start="1080" w:end="0"/>
        <w:rPr>
          <w:rFonts w:ascii="Arial" w:hAnsi="Arial" w:cs="Arial"/>
          <w:sz w:val="24"/>
        </w:rPr>
      </w:pPr>
      <w:r>
        <w:rPr>
          <w:rFonts w:cs="Arial" w:ascii="Arial" w:hAnsi="Arial"/>
          <w:sz w:val="24"/>
        </w:rPr>
        <w:t>Enron denies this allegation on the ground that Friedman Associates received all compensation to which it was entitled.</w:t>
      </w:r>
    </w:p>
    <w:p>
      <w:pPr>
        <w:pStyle w:val="Normal"/>
        <w:numPr>
          <w:ilvl w:val="0"/>
          <w:numId w:val="12"/>
        </w:numPr>
        <w:tabs>
          <w:tab w:val="clear" w:pos="720"/>
          <w:tab w:val="left" w:pos="1080" w:leader="none"/>
        </w:tabs>
        <w:ind w:hanging="360" w:start="1080" w:end="0"/>
        <w:rPr>
          <w:rFonts w:ascii="Arial" w:hAnsi="Arial" w:cs="Arial"/>
          <w:sz w:val="24"/>
        </w:rPr>
      </w:pPr>
      <w:r>
        <w:rPr>
          <w:rFonts w:cs="Arial" w:ascii="Arial" w:hAnsi="Arial"/>
          <w:sz w:val="24"/>
        </w:rPr>
        <w:t>An attorney for Friedman, Donald  Looper of Looper, Read, sent a demand letter to Enron seeking payment of a percentage of the price Enron received for its interests in the Pande and related projects.</w:t>
      </w:r>
    </w:p>
    <w:p>
      <w:pPr>
        <w:pStyle w:val="Normal"/>
        <w:numPr>
          <w:ilvl w:val="0"/>
          <w:numId w:val="12"/>
        </w:numPr>
        <w:tabs>
          <w:tab w:val="clear" w:pos="720"/>
          <w:tab w:val="left" w:pos="1080" w:leader="none"/>
        </w:tabs>
        <w:ind w:hanging="360" w:start="1080" w:end="0"/>
        <w:rPr>
          <w:rFonts w:ascii="Arial" w:hAnsi="Arial" w:cs="Arial"/>
          <w:sz w:val="24"/>
        </w:rPr>
      </w:pPr>
      <w:r>
        <w:rPr>
          <w:rFonts w:cs="Arial" w:ascii="Arial" w:hAnsi="Arial"/>
          <w:b/>
          <w:sz w:val="24"/>
        </w:rPr>
        <w:t>Enron responded and offered to meet to discuss the basis of the claim.  Letters between counsel continue to be exchanged.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3"/>
        <w:keepNext w:val="true"/>
        <w:keepLines/>
        <w:tabs>
          <w:tab w:val="clear" w:pos="1440"/>
          <w:tab w:val="clear" w:pos="8370"/>
        </w:tabs>
        <w:ind w:start="720" w:end="0"/>
        <w:jc w:val="center"/>
        <w:rPr>
          <w:b/>
          <w:sz w:val="28"/>
          <w:u w:val="single"/>
        </w:rPr>
      </w:pPr>
      <w:r>
        <w:rPr>
          <w:b/>
          <w:sz w:val="28"/>
          <w:u w:val="single"/>
        </w:rPr>
        <w:t>Enron China</w:t>
      </w:r>
    </w:p>
    <w:p>
      <w:pPr>
        <w:pStyle w:val="Normal"/>
        <w:keepNext w:val="true"/>
        <w:keepLines/>
        <w:jc w:val="center"/>
        <w:rPr>
          <w:rFonts w:ascii="Arial" w:hAnsi="Arial" w:cs="Arial"/>
          <w:b/>
          <w:sz w:val="24"/>
          <w:u w:val="single"/>
        </w:rPr>
      </w:pPr>
      <w:r>
        <w:rPr>
          <w:rFonts w:cs="Arial" w:ascii="Arial" w:hAnsi="Arial"/>
          <w:b/>
          <w:sz w:val="24"/>
          <w:u w:val="single"/>
        </w:rPr>
      </w:r>
    </w:p>
    <w:p>
      <w:pPr>
        <w:pStyle w:val="Normal"/>
        <w:keepNext w:val="true"/>
        <w:keepLines/>
        <w:jc w:val="both"/>
        <w:rPr>
          <w:rFonts w:ascii="Arial" w:hAnsi="Arial" w:cs="Arial"/>
          <w:sz w:val="24"/>
        </w:rPr>
      </w:pPr>
      <w:r>
        <w:rPr>
          <w:rFonts w:cs="Arial" w:ascii="Arial" w:hAnsi="Arial"/>
          <w:sz w:val="24"/>
        </w:rPr>
      </w:r>
    </w:p>
    <w:p>
      <w:pPr>
        <w:pStyle w:val="Heading6"/>
        <w:keepLines/>
        <w:ind w:hanging="0" w:start="0"/>
        <w:rPr/>
      </w:pPr>
      <w:r>
        <w:rPr/>
        <w:t>I.</w:t>
        <w:tab/>
        <w:t>LITIGATION/ARBITRATION</w:t>
      </w:r>
    </w:p>
    <w:p>
      <w:pPr>
        <w:pStyle w:val="Normal"/>
        <w:keepNext w:val="true"/>
        <w:keepLines/>
        <w:jc w:val="both"/>
        <w:rPr>
          <w:rFonts w:ascii="Arial" w:hAnsi="Arial" w:cs="Arial"/>
          <w:sz w:val="24"/>
        </w:rPr>
      </w:pPr>
      <w:r>
        <w:rPr>
          <w:rFonts w:cs="Arial" w:ascii="Arial" w:hAnsi="Arial"/>
          <w:sz w:val="24"/>
        </w:rPr>
      </w:r>
    </w:p>
    <w:p>
      <w:pPr>
        <w:pStyle w:val="Heading6"/>
        <w:keepLines/>
        <w:tabs>
          <w:tab w:val="clear" w:pos="720"/>
          <w:tab w:val="left" w:pos="7740" w:leader="none"/>
        </w:tabs>
        <w:ind w:hanging="0" w:start="720" w:end="0"/>
        <w:rPr/>
      </w:pPr>
      <w:r>
        <w:rPr>
          <w:u w:val="single"/>
        </w:rPr>
        <w:t>Zhang v. Hainan Power Plant</w:t>
      </w:r>
      <w:r>
        <w:rPr/>
        <w:tab/>
        <w:t>(New)</w:t>
      </w:r>
    </w:p>
    <w:p>
      <w:pPr>
        <w:pStyle w:val="BodyText"/>
        <w:tabs>
          <w:tab w:val="clear" w:pos="720"/>
          <w:tab w:val="left" w:pos="1080" w:leader="none"/>
          <w:tab w:val="left" w:pos="1170" w:leader="none"/>
          <w:tab w:val="left" w:pos="7740" w:leader="none"/>
          <w:tab w:val="left" w:pos="8370" w:leader="none"/>
        </w:tabs>
        <w:ind w:start="720" w:end="0"/>
        <w:rPr/>
      </w:pPr>
      <w:r>
        <w:rPr/>
        <w:t xml:space="preserve">(Hainan Provincial Court, Peoples Republic of China) (Haiwen &amp; Partners) (Defamation of Character Suit) (RMB20,000) </w:t>
      </w:r>
    </w:p>
    <w:p>
      <w:pPr>
        <w:pStyle w:val="BodyText"/>
        <w:keepNext w:val="true"/>
        <w:keepLines/>
        <w:tabs>
          <w:tab w:val="clear" w:pos="720"/>
          <w:tab w:val="left" w:pos="1080" w:leader="none"/>
          <w:tab w:val="left" w:pos="1170" w:leader="none"/>
          <w:tab w:val="left" w:pos="7740" w:leader="none"/>
          <w:tab w:val="left" w:pos="8370" w:leader="none"/>
        </w:tabs>
        <w:rPr/>
      </w:pPr>
      <w:r>
        <w:rPr/>
      </w:r>
    </w:p>
    <w:p>
      <w:pPr>
        <w:pStyle w:val="BodyText"/>
        <w:keepNext w:val="true"/>
        <w:keepLines/>
        <w:numPr>
          <w:ilvl w:val="0"/>
          <w:numId w:val="13"/>
        </w:numPr>
        <w:tabs>
          <w:tab w:val="clear" w:pos="720"/>
          <w:tab w:val="left" w:pos="1080" w:leader="none"/>
          <w:tab w:val="left" w:pos="1170" w:leader="none"/>
          <w:tab w:val="left" w:pos="7740" w:leader="none"/>
          <w:tab w:val="left" w:pos="8370" w:leader="none"/>
        </w:tabs>
        <w:ind w:hanging="360" w:start="1080" w:end="0"/>
        <w:rPr/>
      </w:pPr>
      <w:r>
        <w:rPr>
          <w:color w:val="000000"/>
        </w:rPr>
        <w:t>On May 29, 2000 Hainan Power Plant posted a written notice in the plant premises announcing the dismissal of the plaintiff, Mr. Zhang.</w:t>
      </w:r>
    </w:p>
    <w:p>
      <w:pPr>
        <w:pStyle w:val="BodyText"/>
        <w:keepNext w:val="true"/>
        <w:keepLines/>
        <w:numPr>
          <w:ilvl w:val="0"/>
          <w:numId w:val="13"/>
        </w:numPr>
        <w:tabs>
          <w:tab w:val="clear" w:pos="720"/>
          <w:tab w:val="left" w:pos="1080" w:leader="none"/>
          <w:tab w:val="left" w:pos="1170" w:leader="none"/>
          <w:tab w:val="left" w:pos="7740" w:leader="none"/>
          <w:tab w:val="left" w:pos="8370" w:leader="none"/>
        </w:tabs>
        <w:ind w:hanging="360" w:start="1080" w:end="0"/>
        <w:rPr/>
      </w:pPr>
      <w:r>
        <w:rPr/>
        <w:t>Mr. Zhang claims this posting seriously damaged his reputation, and is suing the company for RMB20,000.</w:t>
      </w:r>
    </w:p>
    <w:p>
      <w:pPr>
        <w:pStyle w:val="BodyText"/>
        <w:keepNext w:val="true"/>
        <w:keepLines/>
        <w:numPr>
          <w:ilvl w:val="0"/>
          <w:numId w:val="7"/>
        </w:numPr>
        <w:tabs>
          <w:tab w:val="clear" w:pos="720"/>
          <w:tab w:val="left" w:pos="1080" w:leader="none"/>
          <w:tab w:val="left" w:pos="1170" w:leader="none"/>
          <w:tab w:val="left" w:pos="7740" w:leader="none"/>
          <w:tab w:val="left" w:pos="8370" w:leader="none"/>
        </w:tabs>
        <w:ind w:hanging="360" w:start="1080" w:end="0"/>
        <w:rPr/>
      </w:pPr>
      <w:r>
        <w:rPr/>
        <w:t>A hearing was scheduled for October 11, 2000.</w:t>
      </w:r>
    </w:p>
    <w:p>
      <w:pPr>
        <w:pStyle w:val="Normal"/>
        <w:numPr>
          <w:ilvl w:val="0"/>
          <w:numId w:val="5"/>
        </w:numPr>
        <w:tabs>
          <w:tab w:val="clear" w:pos="720"/>
          <w:tab w:val="left" w:pos="1080" w:leader="none"/>
        </w:tabs>
        <w:ind w:hanging="360" w:start="1080" w:end="0"/>
        <w:rPr>
          <w:rFonts w:ascii="Arial" w:hAnsi="Arial" w:cs="Arial"/>
          <w:sz w:val="24"/>
        </w:rPr>
      </w:pPr>
      <w:r>
        <w:rPr>
          <w:rFonts w:cs="Arial" w:ascii="Arial" w:hAnsi="Arial"/>
          <w:color w:val="000000"/>
          <w:sz w:val="24"/>
        </w:rPr>
        <w:t>On October 3, 2000 Mr. Zhang agreed to drop his case without any payment or other action by us.</w:t>
      </w:r>
    </w:p>
    <w:p>
      <w:pPr>
        <w:pStyle w:val="Normal"/>
        <w:rPr>
          <w:rFonts w:ascii="Arial" w:hAnsi="Arial" w:cs="Arial"/>
          <w:sz w:val="24"/>
        </w:rPr>
      </w:pPr>
      <w:r>
        <w:rPr>
          <w:rFonts w:cs="Arial" w:ascii="Arial" w:hAnsi="Arial"/>
          <w:sz w:val="24"/>
        </w:rPr>
      </w:r>
    </w:p>
    <w:p>
      <w:pPr>
        <w:pStyle w:val="BodyText"/>
        <w:keepNext w:val="true"/>
        <w:keepLines/>
        <w:tabs>
          <w:tab w:val="clear" w:pos="720"/>
          <w:tab w:val="left" w:pos="1080" w:leader="none"/>
          <w:tab w:val="left" w:pos="1170" w:leader="none"/>
          <w:tab w:val="left" w:pos="7740" w:leader="none"/>
          <w:tab w:val="left" w:pos="8370" w:leader="none"/>
        </w:tabs>
        <w:rPr>
          <w:rFonts w:ascii="Arial" w:hAnsi="Arial" w:cs="Arial"/>
          <w:sz w:val="24"/>
        </w:rPr>
      </w:pPr>
      <w:r>
        <w:rPr>
          <w:rFonts w:cs="Arial"/>
          <w:sz w:val="24"/>
        </w:rPr>
      </w:r>
    </w:p>
    <w:p>
      <w:pPr>
        <w:pStyle w:val="Heading6"/>
        <w:keepLines/>
        <w:tabs>
          <w:tab w:val="clear" w:pos="720"/>
          <w:tab w:val="left" w:pos="7740" w:leader="none"/>
        </w:tabs>
        <w:ind w:hanging="0" w:start="720" w:end="0"/>
        <w:rPr/>
      </w:pPr>
      <w:r>
        <w:rPr>
          <w:u w:val="single"/>
        </w:rPr>
        <w:t>Zhang v. Hainan Power Plant</w:t>
      </w:r>
      <w:r>
        <w:rPr/>
        <w:tab/>
        <w:t>(New)</w:t>
      </w:r>
    </w:p>
    <w:p>
      <w:pPr>
        <w:pStyle w:val="BodyText"/>
        <w:tabs>
          <w:tab w:val="clear" w:pos="720"/>
          <w:tab w:val="left" w:pos="1080" w:leader="none"/>
          <w:tab w:val="left" w:pos="1170" w:leader="none"/>
          <w:tab w:val="left" w:pos="7740" w:leader="none"/>
          <w:tab w:val="left" w:pos="8370" w:leader="none"/>
        </w:tabs>
        <w:ind w:start="720" w:end="0"/>
        <w:rPr/>
      </w:pPr>
      <w:r>
        <w:rPr/>
        <w:t>(Hainan Provincial Court, Peoples Republic of China) (Haiwen &amp; Partners) (Severance Pay Suit) (RMB107,730)</w:t>
      </w:r>
    </w:p>
    <w:p>
      <w:pPr>
        <w:pStyle w:val="BodyText"/>
        <w:tabs>
          <w:tab w:val="clear" w:pos="720"/>
          <w:tab w:val="left" w:pos="1080" w:leader="none"/>
          <w:tab w:val="left" w:pos="1170" w:leader="none"/>
          <w:tab w:val="left" w:pos="7740" w:leader="none"/>
          <w:tab w:val="left" w:pos="8370" w:leader="none"/>
        </w:tabs>
        <w:ind w:start="720" w:end="0"/>
        <w:rPr/>
      </w:pPr>
      <w:r>
        <w:rPr/>
      </w:r>
    </w:p>
    <w:p>
      <w:pPr>
        <w:pStyle w:val="Normal"/>
        <w:numPr>
          <w:ilvl w:val="0"/>
          <w:numId w:val="5"/>
        </w:numPr>
        <w:tabs>
          <w:tab w:val="clear" w:pos="720"/>
          <w:tab w:val="left" w:pos="1080" w:leader="none"/>
        </w:tabs>
        <w:ind w:hanging="360" w:start="1080" w:end="0"/>
        <w:rPr>
          <w:rFonts w:ascii="Arial" w:hAnsi="Arial" w:cs="Arial"/>
          <w:color w:val="000000"/>
          <w:sz w:val="24"/>
        </w:rPr>
      </w:pPr>
      <w:r>
        <w:rPr>
          <w:rFonts w:cs="Arial" w:ascii="Arial" w:hAnsi="Arial"/>
          <w:color w:val="000000"/>
          <w:sz w:val="24"/>
        </w:rPr>
        <w:t>This is a civil action for more "severance pay".  Mr. Zhang's monthly pay was reduced from RMB9,270 to RMB5,933 shortly before he was laid off with an offer of severance pay at RMB36,482 from the company.  He complained that the severance pay should be calculated in accordance with his average compensation in the last 12 months and demanded that the company pay him RMB 107,730 for his lay-off.</w:t>
      </w:r>
    </w:p>
    <w:p>
      <w:pPr>
        <w:pStyle w:val="Normal"/>
        <w:numPr>
          <w:ilvl w:val="0"/>
          <w:numId w:val="5"/>
        </w:numPr>
        <w:tabs>
          <w:tab w:val="clear" w:pos="720"/>
          <w:tab w:val="left" w:pos="1080" w:leader="none"/>
        </w:tabs>
        <w:ind w:hanging="360" w:start="1080" w:end="0"/>
        <w:rPr>
          <w:rFonts w:ascii="Arial" w:hAnsi="Arial" w:cs="Arial"/>
          <w:color w:val="000000"/>
          <w:sz w:val="24"/>
        </w:rPr>
      </w:pPr>
      <w:r>
        <w:rPr>
          <w:rFonts w:cs="Arial" w:ascii="Arial" w:hAnsi="Arial"/>
          <w:color w:val="000000"/>
          <w:sz w:val="24"/>
        </w:rPr>
        <w:t xml:space="preserve">The dispute was brought to arbitration first on June 1, 2000.  </w:t>
      </w:r>
    </w:p>
    <w:p>
      <w:pPr>
        <w:pStyle w:val="Normal"/>
        <w:numPr>
          <w:ilvl w:val="0"/>
          <w:numId w:val="5"/>
        </w:numPr>
        <w:tabs>
          <w:tab w:val="clear" w:pos="720"/>
          <w:tab w:val="left" w:pos="1080" w:leader="none"/>
        </w:tabs>
        <w:ind w:hanging="360" w:start="1080" w:end="0"/>
        <w:rPr>
          <w:rFonts w:ascii="Arial" w:hAnsi="Arial" w:cs="Arial"/>
          <w:color w:val="000000"/>
          <w:sz w:val="24"/>
        </w:rPr>
      </w:pPr>
      <w:r>
        <w:rPr>
          <w:rFonts w:cs="Arial" w:ascii="Arial" w:hAnsi="Arial"/>
          <w:color w:val="000000"/>
          <w:sz w:val="24"/>
        </w:rPr>
        <w:t xml:space="preserve">The arbitration decision by Wenchang Municipal Labor Arbitration Committee was as follows:  the company had the right to lay Mr. Zhang off as well as to transfer him to a lesser-paying position because of his "serious errors" and the needs of the operation; however, the severance pay was not correctly calculated.  It should be RMB55,197 instead of RMB36,482.  </w:t>
      </w:r>
    </w:p>
    <w:p>
      <w:pPr>
        <w:pStyle w:val="Normal"/>
        <w:numPr>
          <w:ilvl w:val="0"/>
          <w:numId w:val="5"/>
        </w:numPr>
        <w:tabs>
          <w:tab w:val="clear" w:pos="720"/>
          <w:tab w:val="left" w:pos="1080" w:leader="none"/>
        </w:tabs>
        <w:ind w:hanging="360" w:start="1080" w:end="0"/>
        <w:rPr>
          <w:rFonts w:ascii="Arial" w:hAnsi="Arial" w:cs="Arial"/>
          <w:sz w:val="24"/>
        </w:rPr>
      </w:pPr>
      <w:r>
        <w:rPr>
          <w:rFonts w:cs="Arial" w:ascii="Arial" w:hAnsi="Arial"/>
          <w:color w:val="000000"/>
          <w:sz w:val="24"/>
        </w:rPr>
        <w:t>Mr. Zhang did not accept the arbitration decision and appealed to the people's court, which decided to hear the case on October 17, 2000.</w:t>
      </w:r>
    </w:p>
    <w:p>
      <w:pPr>
        <w:pStyle w:val="Normal"/>
        <w:numPr>
          <w:ilvl w:val="0"/>
          <w:numId w:val="5"/>
        </w:numPr>
        <w:tabs>
          <w:tab w:val="clear" w:pos="720"/>
          <w:tab w:val="left" w:pos="1080" w:leader="none"/>
        </w:tabs>
        <w:ind w:hanging="360" w:start="1080" w:end="0"/>
        <w:rPr>
          <w:rFonts w:ascii="Arial" w:hAnsi="Arial" w:cs="Arial"/>
          <w:sz w:val="24"/>
        </w:rPr>
      </w:pPr>
      <w:r>
        <w:rPr>
          <w:rFonts w:cs="Arial" w:ascii="Arial" w:hAnsi="Arial"/>
          <w:color w:val="000000"/>
          <w:sz w:val="24"/>
        </w:rPr>
        <w:t>On October 3, 2000 Mr. Zhang agreed to drop his case without any payment or other action by us.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t xml:space="preserve">cc: </w:t>
        <w:tab/>
        <w:t>Mr. James McCartney</w:t>
      </w:r>
    </w:p>
    <w:p>
      <w:pPr>
        <w:pStyle w:val="Heading9"/>
        <w:tabs>
          <w:tab w:val="left" w:pos="720" w:leader="none"/>
          <w:tab w:val="left" w:pos="1080" w:leader="none"/>
          <w:tab w:val="left" w:pos="1170" w:leader="none"/>
          <w:tab w:val="left" w:pos="1440" w:leader="none"/>
          <w:tab w:val="left" w:pos="7740" w:leader="none"/>
          <w:tab w:val="left" w:pos="8370" w:leader="none"/>
        </w:tabs>
        <w:ind w:hanging="0" w:start="0"/>
        <w:rPr/>
      </w:pPr>
      <w:r>
        <w:rPr/>
        <w:tab/>
        <w:t>Mr. Rex Rogers</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/mnt/main-storage/datasets/enron-docs/doc/APACHI_oct-7250757b919bb92f2ec5cb46e433a23e415f1963cccb04cecb65bfe23af8efc0.doc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/mnt/main-storage/datasets/enron-docs/doc/APACHI_oct-7250757b919bb92f2ec5cb46e433a23e415f1963cccb04cecb65bfe23af8efc0.doc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16"/>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sz w:val="16"/>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sz w:val="16"/>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3z0">
    <w:name w:val="WW8Num123z0"/>
    <w:qFormat/>
    <w:rPr>
      <w:rFonts w:ascii="Symbol" w:hAnsi="Symbol" w:cs="Symbol"/>
      <w:color w:val="auto"/>
      <w:sz w:val="16"/>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16"/>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color w:val="auto"/>
      <w:sz w:val="16"/>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6z0">
    <w:name w:val="WW8Num206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color w:val="auto"/>
      <w:sz w:val="16"/>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ind w:firstLine="360" w:start="720" w:end="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2000-10-04T11:57:00Z</dcterms:created>
  <dc:creator>llee</dc:creator>
  <dc:description/>
  <dc:language>en-CA</dc:language>
  <cp:lastModifiedBy>EI</cp:lastModifiedBy>
  <cp:lastPrinted>2000-10-16T13:10:00Z</cp:lastPrinted>
  <dcterms:modified xsi:type="dcterms:W3CDTF">2000-10-16T15:40:00Z</dcterms:modified>
  <cp:revision>25</cp:revision>
  <dc:subject/>
  <dc:title> </dc:title>
</cp:coreProperties>
</file>