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36" w:type="dxa"/>
        <w:jc w:val="start"/>
        <w:tblInd w:w="-721" w:type="dxa"/>
        <w:tblLayout w:type="fixed"/>
        <w:tblCellMar>
          <w:top w:w="0" w:type="dxa"/>
          <w:start w:w="108" w:type="dxa"/>
          <w:bottom w:w="0" w:type="dxa"/>
          <w:end w:w="108" w:type="dxa"/>
        </w:tblCellMar>
      </w:tblPr>
      <w:tblGrid>
        <w:gridCol w:w="2313"/>
        <w:gridCol w:w="6458"/>
        <w:gridCol w:w="2465"/>
      </w:tblGrid>
      <w:tr>
        <w:trPr>
          <w:trHeight w:val="742" w:hRule="atLeast"/>
        </w:trPr>
        <w:tc>
          <w:tcPr>
            <w:tcW w:w="2313" w:type="dxa"/>
            <w:vMerge w:val="restart"/>
            <w:tcBorders/>
          </w:tcPr>
          <w:p>
            <w:pPr>
              <w:pStyle w:val="Normal"/>
              <w:snapToGrid w:val="false"/>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HARRY L. TINDALL*</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CHARLES C. FOSTER**</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ROBERT F. LOUGHRAN**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ANGELA G. PENCE</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H. RICHARD SINDELAR III†</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MATTHEW G. THOMPSON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ALICE M. GRUBER</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LISA M. REID</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KAREN KATZ FELDMAN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HEATHER M. HUGHES</w:t>
            </w:r>
          </w:p>
          <w:p>
            <w:pPr>
              <w:pStyle w:val="Normal"/>
              <w:rPr/>
            </w:pPr>
            <w:r>
              <w:rPr>
                <w:rFonts w:cs="Goudy Old Style;Times New Roman" w:ascii="Goudy Old Style;Times New Roman" w:hAnsi="Goudy Old Style;Times New Roman"/>
                <w:sz w:val="14"/>
              </w:rPr>
              <w:t>LEIGH NELSON</w:t>
            </w:r>
            <w:r>
              <w:rPr>
                <w:rFonts w:cs="Goudy Old Style;Times New Roman" w:ascii="Goudy Old Style;Times New Roman" w:hAnsi="Goudy Old Style;Times New Roman"/>
                <w:sz w:val="14"/>
                <w:vertAlign w:val="superscript"/>
              </w:rPr>
              <w:t>±</w:t>
            </w:r>
          </w:p>
          <w:p>
            <w:pPr>
              <w:pStyle w:val="Normal"/>
              <w:rPr/>
            </w:pPr>
            <w:r>
              <w:rPr>
                <w:rFonts w:cs="Goudy Old Style;Times New Roman" w:ascii="Goudy Old Style;Times New Roman" w:hAnsi="Goudy Old Style;Times New Roman"/>
                <w:sz w:val="14"/>
              </w:rPr>
              <w:t xml:space="preserve">MAGALI </w:t>
            </w:r>
            <w:r>
              <w:rPr>
                <w:rFonts w:cs="Goudy Old Style;Times New Roman" w:ascii="Goudy Old Style;Times New Roman" w:hAnsi="Goudy Old Style;Times New Roman"/>
                <w:sz w:val="14"/>
                <w:vertAlign w:val="superscript"/>
              </w:rPr>
              <w:t xml:space="preserve"> </w:t>
            </w:r>
            <w:r>
              <w:rPr>
                <w:rFonts w:cs="Goudy Old Style;Times New Roman" w:ascii="Goudy Old Style;Times New Roman" w:hAnsi="Goudy Old Style;Times New Roman"/>
                <w:sz w:val="14"/>
              </w:rPr>
              <w:t>S. CANDLER</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KAREN HUNTER-COURRÈGES</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KRISTEN T. BURKE</w:t>
            </w:r>
          </w:p>
          <w:p>
            <w:pPr>
              <w:pStyle w:val="Normal"/>
              <w:rPr/>
            </w:pPr>
            <w:r>
              <w:rPr>
                <w:rFonts w:cs="Goudy Old Style;Times New Roman" w:ascii="Goudy Old Style;Times New Roman" w:hAnsi="Goudy Old Style;Times New Roman"/>
                <w:sz w:val="14"/>
              </w:rPr>
              <w:t>NICOLE LAWRENCE EZER</w:t>
            </w:r>
            <w:r>
              <w:rPr>
                <w:rFonts w:cs="Goudy Old Style;Times New Roman" w:ascii="Goudy Old Style;Times New Roman" w:hAnsi="Goudy Old Style;Times New Roman"/>
                <w:sz w:val="14"/>
                <w:vertAlign w:val="superscript"/>
              </w:rPr>
              <w:t>‡</w:t>
            </w:r>
          </w:p>
          <w:p>
            <w:pPr>
              <w:pStyle w:val="Normal"/>
              <w:rPr>
                <w:rFonts w:ascii="Goudy Old Style;Times New Roman" w:hAnsi="Goudy Old Style;Times New Roman" w:cs="Goudy Old Style;Times New Roman"/>
                <w:sz w:val="14"/>
                <w:vertAlign w:val="superscript"/>
              </w:rPr>
            </w:pPr>
            <w:r>
              <w:rPr>
                <w:rFonts w:cs="Goudy Old Style;Times New Roman" w:ascii="Goudy Old Style;Times New Roman" w:hAnsi="Goudy Old Style;Times New Roman"/>
                <w:sz w:val="14"/>
                <w:vertAlign w:val="superscript"/>
              </w:rPr>
            </w:r>
          </w:p>
        </w:tc>
        <w:tc>
          <w:tcPr>
            <w:tcW w:w="6458" w:type="dxa"/>
            <w:tcBorders/>
          </w:tcPr>
          <w:p>
            <w:pPr>
              <w:pStyle w:val="Normal"/>
              <w:jc w:val="center"/>
              <w:rPr>
                <w:rFonts w:ascii="GoudyOlSt BT;Times New Roman" w:hAnsi="GoudyOlSt BT;Times New Roman" w:cs="GoudyOlSt BT;Times New Roman"/>
                <w:sz w:val="30"/>
              </w:rPr>
            </w:pPr>
            <w:r>
              <w:rPr>
                <w:rFonts w:cs="GoudyOlSt BT;Times New Roman" w:ascii="GoudyOlSt BT;Times New Roman" w:hAnsi="GoudyOlSt BT;Times New Roman"/>
                <w:b/>
                <w:smallCaps/>
                <w:sz w:val="30"/>
              </w:rPr>
              <w:t>Tindall &amp; Foster, P.C.</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ATTORNEYS AT LAW</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600 TRAVIS STREET, SUITE 2800</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HOUSTON, TEXAS 77002-3094</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TELEPHONE: (713) 229-8733</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 xml:space="preserve">FAX: (713) 228-1303 </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www.tindallfoster.com</w:t>
            </w:r>
          </w:p>
          <w:p>
            <w:pPr>
              <w:pStyle w:val="Normal"/>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r>
          </w:p>
        </w:tc>
        <w:tc>
          <w:tcPr>
            <w:tcW w:w="2465" w:type="dxa"/>
            <w:vMerge w:val="restart"/>
            <w:tcBorders/>
          </w:tcPr>
          <w:p>
            <w:pPr>
              <w:pStyle w:val="Normal"/>
              <w:snapToGrid w:val="false"/>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BOARD CERTIFIED-TEXAS BOARD</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OF LEGAL SPECIALIZATION</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*FAMILY LAW</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 IMMIGRATION &amp; NATIONALITY LAW</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cs="GoudyOlSt BT;Times New Roman" w:ascii="GoudyOlSt BT;Times New Roman" w:hAnsi="GoudyOlSt BT;Times New Roman"/>
                <w:sz w:val="10"/>
              </w:rPr>
              <w:t>†</w:t>
            </w:r>
            <w:r>
              <w:rPr>
                <w:rFonts w:cs="Goudy Old Style;Times New Roman" w:ascii="Goudy Old Style;Times New Roman" w:hAnsi="Goudy Old Style;Times New Roman"/>
                <w:sz w:val="10"/>
              </w:rPr>
              <w:t>LICENSED IN THE DISTRICT OF COLUMBIA</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cs="Goudy Old Style;Times New Roman" w:ascii="Goudy Old Style;Times New Roman" w:hAnsi="Goudy Old Style;Times New Roman"/>
                <w:sz w:val="10"/>
                <w:vertAlign w:val="superscript"/>
              </w:rPr>
              <w:t>±</w:t>
            </w:r>
            <w:r>
              <w:rPr>
                <w:rFonts w:cs="Goudy Old Style;Times New Roman" w:ascii="Goudy Old Style;Times New Roman" w:hAnsi="Goudy Old Style;Times New Roman"/>
                <w:sz w:val="10"/>
              </w:rPr>
              <w:t>LICENSED IN THE STATE OF MASSACHUSETTS</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cs="Goudy Old Style;Times New Roman" w:ascii="Goudy Old Style;Times New Roman" w:hAnsi="Goudy Old Style;Times New Roman"/>
                <w:sz w:val="10"/>
                <w:vertAlign w:val="superscript"/>
              </w:rPr>
              <w:t>‡</w:t>
            </w:r>
            <w:r>
              <w:rPr>
                <w:rFonts w:cs="Goudy Old Style;Times New Roman" w:ascii="Goudy Old Style;Times New Roman" w:hAnsi="Goudy Old Style;Times New Roman"/>
                <w:sz w:val="10"/>
              </w:rPr>
              <w:t>LICENSED IN THE STATE OF HAWAII</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tc>
      </w:tr>
      <w:tr>
        <w:trPr>
          <w:trHeight w:val="742" w:hRule="atLeast"/>
        </w:trPr>
        <w:tc>
          <w:tcPr>
            <w:tcW w:w="2313" w:type="dxa"/>
            <w:vMerge w:val="continue"/>
            <w:tcBorders/>
          </w:tcPr>
          <w:p>
            <w:pPr>
              <w:pStyle w:val="Normal"/>
              <w:snapToGrid w:val="false"/>
              <w:rPr/>
            </w:pPr>
            <w:r>
              <w:rPr/>
            </w:r>
          </w:p>
        </w:tc>
        <w:tc>
          <w:tcPr>
            <w:tcW w:w="6458" w:type="dxa"/>
            <w:tcBorders/>
          </w:tcPr>
          <w:p>
            <w:pPr>
              <w:pStyle w:val="Normal"/>
              <w:snapToGrid w:val="false"/>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p>
            <w:pPr>
              <w:pStyle w:val="Normal"/>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p>
            <w:pPr>
              <w:pStyle w:val="Normal"/>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p>
            <w:pPr>
              <w:pStyle w:val="Normal"/>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tc>
        <w:tc>
          <w:tcPr>
            <w:tcW w:w="2465" w:type="dxa"/>
            <w:vMerge w:val="continue"/>
            <w:tcBorders/>
          </w:tcPr>
          <w:p>
            <w:pPr>
              <w:pStyle w:val="Normal"/>
              <w:snapToGrid w:val="false"/>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tc>
      </w:tr>
      <w:tr>
        <w:trPr>
          <w:trHeight w:val="414" w:hRule="atLeast"/>
        </w:trPr>
        <w:tc>
          <w:tcPr>
            <w:tcW w:w="2313" w:type="dxa"/>
            <w:tcBorders/>
          </w:tcPr>
          <w:p>
            <w:pPr>
              <w:pStyle w:val="Normal"/>
              <w:snapToGrid w:val="false"/>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tc>
        <w:tc>
          <w:tcPr>
            <w:tcW w:w="6458" w:type="dxa"/>
            <w:tcBorders/>
          </w:tcPr>
          <w:p>
            <w:pPr>
              <w:pStyle w:val="Heading1"/>
              <w:ind w:hanging="0" w:start="0"/>
              <w:rPr/>
            </w:pPr>
            <w:r>
              <w:rPr/>
              <w:t>M E M O R A N D U M</w:t>
            </w:r>
          </w:p>
        </w:tc>
        <w:tc>
          <w:tcPr>
            <w:tcW w:w="2465" w:type="dxa"/>
            <w:tcBorders/>
          </w:tcPr>
          <w:p>
            <w:pPr>
              <w:pStyle w:val="Normal"/>
              <w:snapToGrid w:val="false"/>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tc>
      </w:tr>
    </w:tbl>
    <w:p>
      <w:pPr>
        <w:pStyle w:val="Normal"/>
        <w:rPr>
          <w:b/>
          <w:bCs/>
        </w:rPr>
      </w:pPr>
      <w:r>
        <w:rPr>
          <w:b/>
          <w:bCs/>
        </w:rPr>
      </w:r>
    </w:p>
    <w:p>
      <w:pPr>
        <w:pStyle w:val="Normal"/>
        <w:rPr>
          <w:b/>
          <w:bCs/>
        </w:rPr>
      </w:pPr>
      <w:r>
        <w:rPr>
          <w:b/>
          <w:bCs/>
        </w:rPr>
        <w:t>TO:</w:t>
        <w:tab/>
        <w:tab/>
        <w:t>Enron Employees</w:t>
      </w:r>
    </w:p>
    <w:p>
      <w:pPr>
        <w:pStyle w:val="Normal"/>
        <w:rPr>
          <w:b/>
          <w:bCs/>
        </w:rPr>
      </w:pPr>
      <w:r>
        <w:rPr>
          <w:b/>
          <w:bCs/>
        </w:rPr>
      </w:r>
    </w:p>
    <w:p>
      <w:pPr>
        <w:pStyle w:val="Normal"/>
        <w:rPr>
          <w:b/>
          <w:bCs/>
        </w:rPr>
      </w:pPr>
      <w:r>
        <w:rPr>
          <w:b/>
          <w:bCs/>
        </w:rPr>
        <w:t>FROM:</w:t>
        <w:tab/>
        <w:t>Alice Gruber</w:t>
      </w:r>
    </w:p>
    <w:p>
      <w:pPr>
        <w:pStyle w:val="Normal"/>
        <w:rPr>
          <w:b/>
          <w:bCs/>
        </w:rPr>
      </w:pPr>
      <w:r>
        <w:rPr>
          <w:b/>
          <w:bCs/>
        </w:rPr>
      </w:r>
    </w:p>
    <w:p>
      <w:pPr>
        <w:pStyle w:val="Normal"/>
        <w:rPr/>
      </w:pPr>
      <w:r>
        <w:rPr>
          <w:b/>
          <w:bCs/>
        </w:rPr>
        <w:t>DATE:</w:t>
        <w:tab/>
      </w:r>
      <w:r>
        <w:rPr>
          <w:b/>
          <w:bCs/>
        </w:rPr>
        <w:fldChar w:fldCharType="begin"/>
      </w:r>
      <w:r>
        <w:rPr>
          <w:b/>
          <w:bCs/>
        </w:rPr>
        <w:instrText xml:space="preserve"> DATE \@"MMMM\ d', 'yyyy" </w:instrText>
      </w:r>
      <w:r>
        <w:rPr>
          <w:b/>
          <w:bCs/>
        </w:rPr>
        <w:fldChar w:fldCharType="separate"/>
      </w:r>
      <w:r>
        <w:rPr>
          <w:b/>
          <w:bCs/>
        </w:rPr>
        <w:t>September 28, 2025</w:t>
      </w:r>
      <w:r>
        <w:rPr>
          <w:b/>
          <w:bCs/>
        </w:rPr>
        <w:fldChar w:fldCharType="end"/>
      </w:r>
      <w:r>
        <w:rPr>
          <w:b/>
          <w:bCs/>
        </w:rPr>
        <w:tab/>
        <w:t xml:space="preserve"> </w:t>
      </w:r>
    </w:p>
    <w:p>
      <w:pPr>
        <w:pStyle w:val="Normal"/>
        <w:rPr>
          <w:b/>
          <w:bCs/>
        </w:rPr>
      </w:pPr>
      <w:r>
        <w:rPr>
          <w:b/>
          <w:bCs/>
        </w:rPr>
      </w:r>
    </w:p>
    <w:p>
      <w:pPr>
        <w:pStyle w:val="Normal"/>
        <w:rPr>
          <w:b/>
          <w:bCs/>
        </w:rPr>
      </w:pPr>
      <w:r>
        <w:rPr>
          <w:b/>
          <w:bCs/>
        </w:rPr>
        <w:t>RE:</w:t>
        <w:tab/>
        <w:tab/>
        <w:t>ADJUSTMENT OF STATUS VERSUS CONSULAR PROCESSING</w:t>
      </w:r>
    </w:p>
    <w:p>
      <w:pPr>
        <w:pStyle w:val="Normal"/>
        <w:rPr>
          <w:b/>
          <w:bCs/>
        </w:rPr>
      </w:pPr>
      <w:r>
        <w:rPr>
          <w:b/>
          <w:bCs/>
        </w:rPr>
      </w:r>
    </w:p>
    <w:p>
      <w:pPr>
        <w:pStyle w:val="Normal"/>
        <w:rPr>
          <w:b/>
          <w:bCs/>
        </w:rPr>
      </w:pPr>
      <w:r>
        <w:rPr>
          <w:b/>
          <w:bCs/>
        </w:rPr>
      </w:r>
    </w:p>
    <w:p>
      <w:pPr>
        <w:pStyle w:val="BodyText"/>
        <w:rPr/>
      </w:pPr>
      <w:r>
        <w:rPr/>
        <w:t>Whenever a person wishes to obtain legal permanent residence, he has the option of one of two procedures.  One is known as Adjustment of Status.  The other is known as Consular Processing.</w:t>
      </w:r>
    </w:p>
    <w:p>
      <w:pPr>
        <w:pStyle w:val="Normal"/>
        <w:rPr/>
      </w:pPr>
      <w:r>
        <w:rPr/>
      </w:r>
    </w:p>
    <w:p>
      <w:pPr>
        <w:pStyle w:val="Heading1"/>
        <w:ind w:hanging="0" w:start="0"/>
        <w:rPr/>
      </w:pPr>
      <w:r>
        <w:rPr/>
        <w:t>ADJUSTMENT OF STATUS</w:t>
      </w:r>
    </w:p>
    <w:p>
      <w:pPr>
        <w:pStyle w:val="Normal"/>
        <w:rPr/>
      </w:pPr>
      <w:r>
        <w:rPr/>
      </w:r>
    </w:p>
    <w:p>
      <w:pPr>
        <w:pStyle w:val="Heading1"/>
        <w:ind w:hanging="0" w:start="0"/>
        <w:jc w:val="start"/>
        <w:rPr/>
      </w:pPr>
      <w:r>
        <w:rPr/>
        <w:t>Pros</w:t>
      </w:r>
    </w:p>
    <w:p>
      <w:pPr>
        <w:pStyle w:val="Normal"/>
        <w:rPr/>
      </w:pPr>
      <w:r>
        <w:rPr/>
      </w:r>
    </w:p>
    <w:p>
      <w:pPr>
        <w:pStyle w:val="BodyText"/>
        <w:numPr>
          <w:ilvl w:val="0"/>
          <w:numId w:val="2"/>
        </w:numPr>
        <w:rPr/>
      </w:pPr>
      <w:r>
        <w:rPr/>
        <w:t>The foreign national can usually remain in the United States during the adjustment processing.</w:t>
      </w:r>
    </w:p>
    <w:p>
      <w:pPr>
        <w:pStyle w:val="BodyText"/>
        <w:numPr>
          <w:ilvl w:val="0"/>
          <w:numId w:val="2"/>
        </w:numPr>
        <w:rPr/>
      </w:pPr>
      <w:r>
        <w:rPr/>
        <w:t>Police clearances are not required, only FBI and CIA clearances.</w:t>
      </w:r>
    </w:p>
    <w:p>
      <w:pPr>
        <w:pStyle w:val="BodyText"/>
        <w:numPr>
          <w:ilvl w:val="0"/>
          <w:numId w:val="2"/>
        </w:numPr>
        <w:rPr/>
      </w:pPr>
      <w:r>
        <w:rPr/>
        <w:t>The foreign national, spouse and children (who are old enough to legally work) can work during adjustment period once Employment Authorization Documents are issued (approximately 90 days after filing).  This is especially important for employment-based applications if underlying nonimmigrant H or L time is almost exhausted.</w:t>
      </w:r>
    </w:p>
    <w:p>
      <w:pPr>
        <w:pStyle w:val="BodyText"/>
        <w:numPr>
          <w:ilvl w:val="0"/>
          <w:numId w:val="2"/>
        </w:numPr>
        <w:rPr/>
      </w:pPr>
      <w:r>
        <w:rPr/>
        <w:t>Generally, the INS scrutinizes the applicant less than the Consulate.</w:t>
      </w:r>
    </w:p>
    <w:p>
      <w:pPr>
        <w:pStyle w:val="BodyText"/>
        <w:numPr>
          <w:ilvl w:val="0"/>
          <w:numId w:val="2"/>
        </w:numPr>
        <w:rPr/>
      </w:pPr>
      <w:r>
        <w:rPr/>
        <w:t>There is more of a possibility of review should issues arise.</w:t>
      </w:r>
    </w:p>
    <w:p>
      <w:pPr>
        <w:pStyle w:val="BodyText"/>
        <w:numPr>
          <w:ilvl w:val="0"/>
          <w:numId w:val="2"/>
        </w:numPr>
        <w:rPr/>
      </w:pPr>
      <w:r>
        <w:rPr/>
        <w:t>An attorney is allowed to be present at the interview.</w:t>
      </w:r>
    </w:p>
    <w:p>
      <w:pPr>
        <w:pStyle w:val="BodyText"/>
        <w:rPr/>
      </w:pPr>
      <w:r>
        <w:rPr/>
      </w:r>
    </w:p>
    <w:p>
      <w:pPr>
        <w:pStyle w:val="Heading1"/>
        <w:ind w:hanging="0" w:start="0"/>
        <w:jc w:val="start"/>
        <w:rPr/>
      </w:pPr>
      <w:r>
        <w:rPr/>
        <w:t>Cons</w:t>
      </w:r>
    </w:p>
    <w:p>
      <w:pPr>
        <w:pStyle w:val="Normal"/>
        <w:rPr/>
      </w:pPr>
      <w:r>
        <w:rPr/>
      </w:r>
    </w:p>
    <w:p>
      <w:pPr>
        <w:pStyle w:val="Normal"/>
        <w:numPr>
          <w:ilvl w:val="0"/>
          <w:numId w:val="2"/>
        </w:numPr>
        <w:rPr/>
      </w:pPr>
      <w:r>
        <w:rPr/>
        <w:t>Adjustment can take at least one year longer than consular processing.</w:t>
      </w:r>
    </w:p>
    <w:p>
      <w:pPr>
        <w:pStyle w:val="Normal"/>
        <w:ind w:start="720" w:end="0"/>
        <w:rPr/>
      </w:pPr>
      <w:r>
        <w:rPr/>
      </w:r>
    </w:p>
    <w:p>
      <w:pPr>
        <w:sectPr>
          <w:type w:val="nextPage"/>
          <w:pgSz w:w="12240" w:h="15840"/>
          <w:pgMar w:left="1440" w:right="1440" w:gutter="0" w:header="0" w:top="864" w:footer="0" w:bottom="1440"/>
          <w:pgNumType w:fmt="decimal"/>
          <w:formProt w:val="false"/>
          <w:textDirection w:val="lrTb"/>
          <w:docGrid w:type="default" w:linePitch="360" w:charSpace="0"/>
        </w:sectPr>
        <w:pStyle w:val="Normal"/>
        <w:ind w:start="720" w:end="0"/>
        <w:rPr/>
      </w:pPr>
      <w:r>
        <w:rPr/>
      </w:r>
    </w:p>
    <w:p>
      <w:pPr>
        <w:pStyle w:val="Normal"/>
        <w:ind w:start="1080" w:end="0"/>
        <w:jc w:val="both"/>
        <w:rPr/>
      </w:pPr>
      <w:r>
        <w:rPr/>
        <w:t xml:space="preserve">In many districts, a </w:t>
      </w:r>
      <w:r>
        <w:rPr>
          <w:b/>
          <w:bCs/>
        </w:rPr>
        <w:t>family-based</w:t>
      </w:r>
      <w:r>
        <w:rPr/>
        <w:t xml:space="preserve"> case can take approximately two to four years.  For family-based cases, not having an interview until the person has been married for more than two years can be beneficial, as the foreign national spouse will receive legal permanent residence without condition.  The delay can thus be a benefit, unless the marriage breaks down and the couple divorces before the first interview.  In a marriage-based case, should the legal permanent residence be granted prior to the two-year anniversary of the marriage, then the foreign national must complete another INS procedure by filing for removal of the condition in the 90 days prior to the two-year anniversary of the grant of conditional residence.  In rare instances, the condition can be removed even if the couple has divorced.</w:t>
      </w:r>
    </w:p>
    <w:p>
      <w:pPr>
        <w:pStyle w:val="Normal"/>
        <w:ind w:start="1080" w:end="0"/>
        <w:jc w:val="both"/>
        <w:rPr/>
      </w:pPr>
      <w:r>
        <w:rPr/>
      </w:r>
    </w:p>
    <w:p>
      <w:pPr>
        <w:pStyle w:val="Heading1"/>
        <w:ind w:hanging="0" w:start="0"/>
        <w:rPr/>
      </w:pPr>
      <w:r>
        <w:rPr/>
        <w:t>CONSULAR PROCESSING</w:t>
      </w:r>
    </w:p>
    <w:p>
      <w:pPr>
        <w:pStyle w:val="Normal"/>
        <w:rPr/>
      </w:pPr>
      <w:r>
        <w:rPr/>
      </w:r>
    </w:p>
    <w:p>
      <w:pPr>
        <w:pStyle w:val="Heading1"/>
        <w:ind w:hanging="0" w:start="0"/>
        <w:jc w:val="start"/>
        <w:rPr/>
      </w:pPr>
      <w:r>
        <w:rPr/>
        <w:t>Pros</w:t>
      </w:r>
    </w:p>
    <w:p>
      <w:pPr>
        <w:pStyle w:val="Normal"/>
        <w:rPr/>
      </w:pPr>
      <w:r>
        <w:rPr/>
      </w:r>
    </w:p>
    <w:p>
      <w:pPr>
        <w:pStyle w:val="BodyText2"/>
        <w:numPr>
          <w:ilvl w:val="0"/>
          <w:numId w:val="2"/>
        </w:numPr>
        <w:rPr>
          <w:sz w:val="24"/>
        </w:rPr>
      </w:pPr>
      <w:r>
        <w:rPr>
          <w:sz w:val="24"/>
        </w:rPr>
        <w:t>Processing takes approximately six months at a U.S. Consulate abroad, once the immigrant visa petition has been approved.  (The immigrant visa petition takes approximately eight to twelve months for approval.)</w:t>
      </w:r>
    </w:p>
    <w:p>
      <w:pPr>
        <w:pStyle w:val="Normal"/>
        <w:ind w:start="360" w:end="0"/>
        <w:jc w:val="both"/>
        <w:rPr>
          <w:sz w:val="24"/>
        </w:rPr>
      </w:pPr>
      <w:r>
        <w:rPr>
          <w:sz w:val="24"/>
        </w:rPr>
      </w:r>
    </w:p>
    <w:p>
      <w:pPr>
        <w:pStyle w:val="Heading1"/>
        <w:ind w:hanging="0" w:start="0"/>
        <w:jc w:val="start"/>
        <w:rPr/>
      </w:pPr>
      <w:r>
        <w:rPr/>
        <w:t>Cons</w:t>
      </w:r>
    </w:p>
    <w:p>
      <w:pPr>
        <w:pStyle w:val="Normal"/>
        <w:rPr/>
      </w:pPr>
      <w:r>
        <w:rPr/>
      </w:r>
    </w:p>
    <w:p>
      <w:pPr>
        <w:pStyle w:val="Normal"/>
        <w:numPr>
          <w:ilvl w:val="0"/>
          <w:numId w:val="2"/>
        </w:numPr>
        <w:jc w:val="both"/>
        <w:rPr/>
      </w:pPr>
      <w:r>
        <w:rPr/>
        <w:t>As more people choose consular processing, especially due to backlogs at the INS for adjustment, the consular processing will likely not be completed in merely six months.</w:t>
      </w:r>
    </w:p>
    <w:p>
      <w:pPr>
        <w:pStyle w:val="Normal"/>
        <w:numPr>
          <w:ilvl w:val="0"/>
          <w:numId w:val="2"/>
        </w:numPr>
        <w:jc w:val="both"/>
        <w:rPr/>
      </w:pPr>
      <w:r>
        <w:rPr/>
        <w:t xml:space="preserve">The foreign national and each family member seeking legal permanent residence must return to the home country for the processing, which can sometimes take several days or longer due to medical exams and for other issues.  Certain consular posts, especially those located in China and India, are know for arbitrary and capricious determinations resulting in inequitable decisions and thus it may be inadvisable to suggest these foreign nationals process in their home countries.  (For </w:t>
      </w:r>
      <w:r>
        <w:rPr>
          <w:b/>
          <w:bCs/>
        </w:rPr>
        <w:t>family-based</w:t>
      </w:r>
      <w:r>
        <w:rPr/>
        <w:t xml:space="preserve"> spouse cases, the petitioning spouse should also attend the consular interview.)</w:t>
      </w:r>
    </w:p>
    <w:p>
      <w:pPr>
        <w:pStyle w:val="Normal"/>
        <w:numPr>
          <w:ilvl w:val="0"/>
          <w:numId w:val="2"/>
        </w:numPr>
        <w:jc w:val="both"/>
        <w:rPr/>
      </w:pPr>
      <w:r>
        <w:rPr/>
        <w:t xml:space="preserve">For </w:t>
      </w:r>
      <w:r>
        <w:rPr>
          <w:b/>
          <w:bCs/>
        </w:rPr>
        <w:t>employment-based</w:t>
      </w:r>
      <w:r>
        <w:rPr/>
        <w:t xml:space="preserve"> cases, the foreign national can only work if H or L status continues to be maintained and time limits have not been exhausted.</w:t>
      </w:r>
    </w:p>
    <w:p>
      <w:pPr>
        <w:pStyle w:val="Normal"/>
        <w:numPr>
          <w:ilvl w:val="0"/>
          <w:numId w:val="2"/>
        </w:numPr>
        <w:jc w:val="both"/>
        <w:rPr/>
      </w:pPr>
      <w:r>
        <w:rPr/>
        <w:t>U.S. Consulates often give very short notice regarding the appointment time, meaning that international airline tickets often cost a premium.</w:t>
      </w:r>
    </w:p>
    <w:p>
      <w:pPr>
        <w:pStyle w:val="Normal"/>
        <w:numPr>
          <w:ilvl w:val="0"/>
          <w:numId w:val="2"/>
        </w:numPr>
        <w:jc w:val="both"/>
        <w:rPr/>
      </w:pPr>
      <w:r>
        <w:rPr/>
        <w:t>It can be very difficult to reschedule a consular appointment should immediate travel not be possible.</w:t>
      </w:r>
    </w:p>
    <w:p>
      <w:pPr>
        <w:pStyle w:val="Normal"/>
        <w:numPr>
          <w:ilvl w:val="0"/>
          <w:numId w:val="2"/>
        </w:numPr>
        <w:jc w:val="both"/>
        <w:rPr/>
      </w:pPr>
      <w:r>
        <w:rPr/>
        <w:t>Each person must obtain a police clearance from every country in which the person has lived for more than six months since turning 16 years of age</w:t>
      </w:r>
    </w:p>
    <w:p>
      <w:pPr>
        <w:pStyle w:val="Normal"/>
        <w:numPr>
          <w:ilvl w:val="0"/>
          <w:numId w:val="2"/>
        </w:numPr>
        <w:jc w:val="both"/>
        <w:rPr/>
      </w:pPr>
      <w:r>
        <w:rPr/>
        <w:t>The spouse and children (who are old enough to legally work) cannot work during processing period, unless otherwise work-authorized.</w:t>
      </w:r>
    </w:p>
    <w:p>
      <w:pPr>
        <w:pStyle w:val="Normal"/>
        <w:numPr>
          <w:ilvl w:val="0"/>
          <w:numId w:val="2"/>
        </w:numPr>
        <w:jc w:val="both"/>
        <w:rPr/>
      </w:pPr>
      <w:r>
        <w:rPr/>
        <w:t>Generally, the U.S. Consul scrutinizes the applicant more than at an INS interview in the United States.</w:t>
      </w:r>
    </w:p>
    <w:p>
      <w:pPr>
        <w:pStyle w:val="Normal"/>
        <w:numPr>
          <w:ilvl w:val="0"/>
          <w:numId w:val="2"/>
        </w:numPr>
        <w:jc w:val="both"/>
        <w:rPr/>
      </w:pPr>
      <w:r>
        <w:rPr/>
        <w:t>There is little possibility of review should issues arise.</w:t>
      </w:r>
    </w:p>
    <w:p>
      <w:pPr>
        <w:pStyle w:val="Normal"/>
        <w:ind w:firstLine="720" w:end="0"/>
        <w:jc w:val="both"/>
        <w:rPr/>
      </w:pPr>
      <w:r>
        <w:rPr/>
        <w:t>It is not feasible cost wise or time wise for us to be present with the foreign national at the Consular interview abroad.  Furthermore, an attorney is not always allowed to be present at a consular interview.  While an attorney is not necessary in most cases, any case in which a foreign national has a criminal conviction or a unique issue, having an attorney present for consular processing is recommended and there would be significant additional costs.  There are additional costs even if the case is filed as an adjustment, however the costs tend to be significantly less.</w:t>
      </w:r>
    </w:p>
    <w:p>
      <w:pPr>
        <w:pStyle w:val="Normal"/>
        <w:ind w:firstLine="720" w:end="0"/>
        <w:jc w:val="both"/>
        <w:rPr/>
      </w:pPr>
      <w:r>
        <w:rPr/>
      </w:r>
    </w:p>
    <w:p>
      <w:pPr>
        <w:pStyle w:val="Normal"/>
        <w:ind w:firstLine="720" w:end="0"/>
        <w:jc w:val="both"/>
        <w:rPr/>
      </w:pPr>
      <w:r>
        <w:rPr/>
        <w:t>If you should have any questions, please do not hesitate to contact our office.  Thank you.</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oudy Old Style">
    <w:altName w:val="Times New Roman"/>
    <w:charset w:val="00" w:characterSet="windows-1252"/>
    <w:family w:val="roman"/>
    <w:pitch w:val="variable"/>
  </w:font>
  <w:font w:name="GoudyOlSt BT">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bullet"/>
      <w:lvlText w:val=""/>
      <w:lvlJc w:val="start"/>
      <w:pPr>
        <w:tabs>
          <w:tab w:val="num" w:pos="1080"/>
        </w:tabs>
        <w:ind w:start="108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Arial" w:hAnsi="Arial" w:cs="Arial"/>
      <w:sz w:val="16"/>
    </w:rPr>
  </w:style>
  <w:style w:type="paragraph" w:styleId="BodyText2">
    <w:name w:val="Body Text 2"/>
    <w:basedOn w:val="Normal"/>
    <w:qFormat/>
    <w:pPr>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Ltrhead1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2001-01-15T19:01:00Z</dcterms:created>
  <dc:creator>Susan King</dc:creator>
  <dc:description/>
  <dc:language>en-CA</dc:language>
  <cp:lastModifiedBy>Susan King</cp:lastModifiedBy>
  <cp:lastPrinted>2000-12-05T08:54:00Z</cp:lastPrinted>
  <dcterms:modified xsi:type="dcterms:W3CDTF">2001-01-15T19:02:00Z</dcterms:modified>
  <cp:revision>2</cp:revision>
  <dc:subject/>
  <dc:title>TINDALL &amp; FOSTER, P</dc:title>
</cp:coreProperties>
</file>