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lang w:val="en-CA" w:eastAsia="en-CA"/>
        </w:rPr>
      </w:pPr>
      <w:r>
        <w:rPr>
          <w:lang w:val="en-CA" w:eastAsia="en-CA"/>
        </w:rPr>
        <w:t>ALLEN &amp; OVERY</w:t>
      </w:r>
    </w:p>
    <w:p>
      <w:pPr>
        <w:pStyle w:val="Heading"/>
        <w:rPr>
          <w:lang w:val="en-CA" w:eastAsia="en-CA"/>
        </w:rPr>
      </w:pPr>
      <w:r>
        <w:rPr>
          <w:lang w:val="en-CA" w:eastAsia="en-CA"/>
        </w:rPr>
      </w:r>
    </w:p>
    <w:p>
      <w:pPr>
        <w:pStyle w:val="Subtitle"/>
        <w:rPr/>
      </w:pPr>
      <w:r>
        <w:rPr/>
        <w:t>MEMORANDUM</w:t>
      </w:r>
    </w:p>
    <w:p>
      <w:pPr>
        <w:pStyle w:val="Normal"/>
        <w:tabs>
          <w:tab w:val="clear" w:pos="720"/>
          <w:tab w:val="left" w:pos="5670" w:leader="none"/>
        </w:tabs>
        <w:rPr/>
      </w:pPr>
      <w:r>
        <w:rPr/>
      </w:r>
      <w:bookmarkStart w:id="0" w:name="Status"/>
      <w:bookmarkStart w:id="1" w:name="Status"/>
      <w:bookmarkEnd w:id="1"/>
    </w:p>
    <w:tbl>
      <w:tblPr>
        <w:tblW w:w="9244" w:type="dxa"/>
        <w:jc w:val="start"/>
        <w:tblInd w:w="0" w:type="dxa"/>
        <w:tblLayout w:type="fixed"/>
        <w:tblCellMar>
          <w:top w:w="0" w:type="dxa"/>
          <w:start w:w="108" w:type="dxa"/>
          <w:bottom w:w="0" w:type="dxa"/>
          <w:end w:w="108" w:type="dxa"/>
        </w:tblCellMar>
      </w:tblPr>
      <w:tblGrid>
        <w:gridCol w:w="1368"/>
        <w:gridCol w:w="7876"/>
      </w:tblGrid>
      <w:tr>
        <w:trPr/>
        <w:tc>
          <w:tcPr>
            <w:tcW w:w="1368" w:type="dxa"/>
            <w:tcBorders/>
          </w:tcPr>
          <w:p>
            <w:pPr>
              <w:pStyle w:val="Normal"/>
              <w:tabs>
                <w:tab w:val="clear" w:pos="720"/>
                <w:tab w:val="right" w:pos="8931" w:leader="none"/>
              </w:tabs>
              <w:rPr/>
            </w:pPr>
            <w:r>
              <w:rPr/>
              <w:t>To:</w:t>
            </w:r>
          </w:p>
        </w:tc>
        <w:tc>
          <w:tcPr>
            <w:tcW w:w="7876" w:type="dxa"/>
            <w:tcBorders/>
          </w:tcPr>
          <w:p>
            <w:pPr>
              <w:pStyle w:val="Normal"/>
              <w:tabs>
                <w:tab w:val="clear" w:pos="720"/>
                <w:tab w:val="right" w:pos="8931" w:leader="none"/>
              </w:tabs>
              <w:rPr/>
            </w:pPr>
            <w:bookmarkStart w:id="2" w:name="To"/>
            <w:bookmarkEnd w:id="2"/>
            <w:r>
              <w:rPr/>
              <w:t>International Swaps and Derivatives Association</w:t>
            </w:r>
          </w:p>
        </w:tc>
      </w:tr>
      <w:tr>
        <w:trPr/>
        <w:tc>
          <w:tcPr>
            <w:tcW w:w="1368" w:type="dxa"/>
            <w:tcBorders/>
          </w:tcPr>
          <w:p>
            <w:pPr>
              <w:pStyle w:val="Normal"/>
              <w:tabs>
                <w:tab w:val="clear" w:pos="720"/>
                <w:tab w:val="right" w:pos="8931" w:leader="none"/>
              </w:tabs>
              <w:snapToGrid w:val="false"/>
              <w:rPr/>
            </w:pPr>
            <w:r>
              <w:rPr/>
            </w:r>
            <w:bookmarkStart w:id="3" w:name="Copy"/>
            <w:bookmarkStart w:id="4" w:name="Copy"/>
            <w:bookmarkEnd w:id="4"/>
          </w:p>
        </w:tc>
        <w:tc>
          <w:tcPr>
            <w:tcW w:w="7876" w:type="dxa"/>
            <w:tcBorders/>
          </w:tcPr>
          <w:p>
            <w:pPr>
              <w:pStyle w:val="Normal"/>
              <w:tabs>
                <w:tab w:val="clear" w:pos="720"/>
                <w:tab w:val="right" w:pos="8931" w:leader="none"/>
              </w:tabs>
              <w:snapToGrid w:val="false"/>
              <w:rPr/>
            </w:pPr>
            <w:r>
              <w:rPr/>
            </w:r>
          </w:p>
        </w:tc>
      </w:tr>
      <w:tr>
        <w:trPr/>
        <w:tc>
          <w:tcPr>
            <w:tcW w:w="1368" w:type="dxa"/>
            <w:tcBorders/>
          </w:tcPr>
          <w:p>
            <w:pPr>
              <w:pStyle w:val="Normal"/>
              <w:tabs>
                <w:tab w:val="clear" w:pos="720"/>
                <w:tab w:val="right" w:pos="8931" w:leader="none"/>
              </w:tabs>
              <w:rPr/>
            </w:pPr>
            <w:r>
              <w:rPr/>
              <w:t>From:</w:t>
            </w:r>
          </w:p>
        </w:tc>
        <w:tc>
          <w:tcPr>
            <w:tcW w:w="7876" w:type="dxa"/>
            <w:tcBorders/>
          </w:tcPr>
          <w:p>
            <w:pPr>
              <w:pStyle w:val="Normal"/>
              <w:tabs>
                <w:tab w:val="clear" w:pos="720"/>
                <w:tab w:val="right" w:pos="8931" w:leader="none"/>
              </w:tabs>
              <w:rPr/>
            </w:pPr>
            <w:bookmarkStart w:id="5" w:name="From"/>
            <w:bookmarkEnd w:id="5"/>
            <w:r>
              <w:rPr/>
              <w:t xml:space="preserve">Allen &amp; Overy </w:t>
            </w:r>
          </w:p>
        </w:tc>
      </w:tr>
      <w:tr>
        <w:trPr/>
        <w:tc>
          <w:tcPr>
            <w:tcW w:w="1368" w:type="dxa"/>
            <w:tcBorders/>
          </w:tcPr>
          <w:p>
            <w:pPr>
              <w:pStyle w:val="Normal"/>
              <w:tabs>
                <w:tab w:val="clear" w:pos="720"/>
                <w:tab w:val="right" w:pos="8931" w:leader="none"/>
              </w:tabs>
              <w:snapToGrid w:val="false"/>
              <w:rPr/>
            </w:pPr>
            <w:r>
              <w:rPr/>
            </w:r>
          </w:p>
        </w:tc>
        <w:tc>
          <w:tcPr>
            <w:tcW w:w="7876" w:type="dxa"/>
            <w:tcBorders/>
          </w:tcPr>
          <w:p>
            <w:pPr>
              <w:pStyle w:val="Normal"/>
              <w:tabs>
                <w:tab w:val="clear" w:pos="720"/>
                <w:tab w:val="right" w:pos="8931" w:leader="none"/>
              </w:tabs>
              <w:snapToGrid w:val="false"/>
              <w:rPr/>
            </w:pPr>
            <w:r>
              <w:rPr/>
            </w:r>
          </w:p>
        </w:tc>
      </w:tr>
      <w:tr>
        <w:trPr/>
        <w:tc>
          <w:tcPr>
            <w:tcW w:w="1368" w:type="dxa"/>
            <w:tcBorders/>
          </w:tcPr>
          <w:p>
            <w:pPr>
              <w:pStyle w:val="Normal"/>
              <w:tabs>
                <w:tab w:val="clear" w:pos="720"/>
                <w:tab w:val="right" w:pos="8931" w:leader="none"/>
              </w:tabs>
              <w:rPr/>
            </w:pPr>
            <w:r>
              <w:rPr/>
              <w:t>Date:</w:t>
            </w:r>
          </w:p>
        </w:tc>
        <w:tc>
          <w:tcPr>
            <w:tcW w:w="7876" w:type="dxa"/>
            <w:tcBorders/>
          </w:tcPr>
          <w:p>
            <w:pPr>
              <w:pStyle w:val="Normal"/>
              <w:tabs>
                <w:tab w:val="clear" w:pos="720"/>
                <w:tab w:val="right" w:pos="8931" w:leader="none"/>
              </w:tabs>
              <w:rPr/>
            </w:pPr>
            <w:bookmarkStart w:id="6" w:name="Date"/>
            <w:bookmarkEnd w:id="6"/>
            <w:r>
              <w:rPr/>
              <w:t>15th November, 2001</w:t>
            </w:r>
          </w:p>
        </w:tc>
      </w:tr>
      <w:tr>
        <w:trPr/>
        <w:tc>
          <w:tcPr>
            <w:tcW w:w="1368" w:type="dxa"/>
            <w:tcBorders/>
          </w:tcPr>
          <w:p>
            <w:pPr>
              <w:pStyle w:val="Normal"/>
              <w:tabs>
                <w:tab w:val="clear" w:pos="720"/>
                <w:tab w:val="right" w:pos="8931" w:leader="none"/>
              </w:tabs>
              <w:snapToGrid w:val="false"/>
              <w:rPr/>
            </w:pPr>
            <w:r>
              <w:rPr/>
            </w:r>
          </w:p>
        </w:tc>
        <w:tc>
          <w:tcPr>
            <w:tcW w:w="7876" w:type="dxa"/>
            <w:tcBorders/>
          </w:tcPr>
          <w:p>
            <w:pPr>
              <w:pStyle w:val="Normal"/>
              <w:tabs>
                <w:tab w:val="clear" w:pos="720"/>
                <w:tab w:val="left" w:pos="7660" w:leader="none"/>
                <w:tab w:val="right" w:pos="8931" w:leader="none"/>
              </w:tabs>
              <w:snapToGrid w:val="false"/>
              <w:rPr/>
            </w:pPr>
            <w:r>
              <w:rPr/>
            </w:r>
          </w:p>
        </w:tc>
      </w:tr>
      <w:tr>
        <w:trPr/>
        <w:tc>
          <w:tcPr>
            <w:tcW w:w="1368" w:type="dxa"/>
            <w:tcBorders/>
          </w:tcPr>
          <w:p>
            <w:pPr>
              <w:pStyle w:val="Normal"/>
              <w:tabs>
                <w:tab w:val="clear" w:pos="720"/>
                <w:tab w:val="right" w:pos="8931" w:leader="none"/>
              </w:tabs>
              <w:rPr/>
            </w:pPr>
            <w:r>
              <w:rPr/>
              <w:t>Subject:</w:t>
            </w:r>
          </w:p>
        </w:tc>
        <w:tc>
          <w:tcPr>
            <w:tcW w:w="7876" w:type="dxa"/>
            <w:tcBorders/>
          </w:tcPr>
          <w:p>
            <w:pPr>
              <w:pStyle w:val="Normal"/>
              <w:tabs>
                <w:tab w:val="clear" w:pos="720"/>
                <w:tab w:val="right" w:pos="8931" w:leader="none"/>
              </w:tabs>
              <w:rPr>
                <w:b/>
              </w:rPr>
            </w:pPr>
            <w:bookmarkStart w:id="7" w:name="Subject"/>
            <w:bookmarkEnd w:id="7"/>
            <w:r>
              <w:rPr>
                <w:b/>
              </w:rPr>
              <w:t>ISDA / EBRD Netting Law Project - Hungary</w:t>
            </w:r>
          </w:p>
        </w:tc>
      </w:tr>
    </w:tbl>
    <w:p>
      <w:pPr>
        <w:pStyle w:val="Normal"/>
        <w:pBdr>
          <w:bottom w:val="single" w:sz="6" w:space="1" w:color="000000"/>
        </w:pBdr>
        <w:tabs>
          <w:tab w:val="clear" w:pos="720"/>
          <w:tab w:val="right" w:pos="9000" w:leader="none"/>
        </w:tabs>
        <w:rPr>
          <w:sz w:val="16"/>
        </w:rPr>
      </w:pPr>
      <w:r>
        <w:rPr>
          <w:sz w:val="16"/>
        </w:rPr>
        <w:tab/>
      </w:r>
      <w:bookmarkStart w:id="8" w:name="DocRef"/>
      <w:bookmarkEnd w:id="8"/>
      <w:r>
        <w:rPr>
          <w:sz w:val="16"/>
        </w:rPr>
        <w:t>ICM:556199.1</w:t>
      </w:r>
    </w:p>
    <w:p>
      <w:pPr>
        <w:pStyle w:val="Normal"/>
        <w:rPr>
          <w:sz w:val="16"/>
        </w:rPr>
      </w:pPr>
      <w:r>
        <w:rPr>
          <w:sz w:val="16"/>
        </w:rPr>
      </w:r>
      <w:bookmarkStart w:id="9" w:name="NoteBody"/>
      <w:bookmarkStart w:id="10" w:name="NoteBody"/>
      <w:bookmarkEnd w:id="10"/>
    </w:p>
    <w:p>
      <w:pPr>
        <w:pStyle w:val="Normal"/>
        <w:rPr/>
      </w:pPr>
      <w:r>
        <w:rPr/>
        <w:t>You have asked us to provide an update on the status of the new Hungarian Capital Markets Bill (the “</w:t>
      </w:r>
      <w:r>
        <w:rPr>
          <w:b/>
        </w:rPr>
        <w:t>Bill</w:t>
      </w:r>
      <w:r>
        <w:rPr/>
        <w:t>”)</w:t>
      </w:r>
      <w:bookmarkStart w:id="11" w:name="LetterBody"/>
      <w:bookmarkEnd w:id="11"/>
      <w:r>
        <w:rPr/>
        <w:t>, which was recently submitted to the Hungarian Parliament. We understand that you requested this update with a view to soliciting comments from ISDA members on the relevant provisions of the Bill so as to feed such comments into the legislative process. The Hungarian Parliament is expected to vote on the Bill at the end of November and, if adopted, the new act would be effective as of 1st January, 2002.</w:t>
      </w:r>
    </w:p>
    <w:p>
      <w:pPr>
        <w:pStyle w:val="Normal"/>
        <w:rPr/>
      </w:pPr>
      <w:r>
        <w:rPr/>
      </w:r>
    </w:p>
    <w:p>
      <w:pPr>
        <w:pStyle w:val="Normal"/>
        <w:rPr/>
      </w:pPr>
      <w:r>
        <w:rPr/>
        <w:t xml:space="preserve">As you know, the Bill addresses issues relevant to close-out netting, which we will discuss in part A of this memorandum. The Bill also contains provisions that affect the ability of foreign banks to provide investment services to Hungarian counterparties, which is of relevance to ISDA and its members. We discuss the problems of cross-border investment services in part B of this memorandum. </w:t>
      </w:r>
    </w:p>
    <w:p>
      <w:pPr>
        <w:pStyle w:val="Normal"/>
        <w:rPr/>
      </w:pPr>
      <w:r>
        <w:rPr/>
      </w:r>
    </w:p>
    <w:p>
      <w:pPr>
        <w:pStyle w:val="Normal"/>
        <w:rPr>
          <w:b/>
        </w:rPr>
      </w:pPr>
      <w:r>
        <w:rPr>
          <w:b/>
        </w:rPr>
        <w:t>A.</w:t>
        <w:tab/>
        <w:t>Netting related provisions of the Bill</w:t>
      </w:r>
    </w:p>
    <w:p>
      <w:pPr>
        <w:pStyle w:val="Normal"/>
        <w:rPr>
          <w:b/>
        </w:rPr>
      </w:pPr>
      <w:r>
        <w:rPr>
          <w:b/>
        </w:rPr>
      </w:r>
    </w:p>
    <w:p>
      <w:pPr>
        <w:pStyle w:val="Normal"/>
        <w:rPr>
          <w:b/>
        </w:rPr>
      </w:pPr>
      <w:r>
        <w:rPr>
          <w:b/>
        </w:rPr>
        <w:t>1.</w:t>
        <w:tab/>
        <w:t>The relevant provisions of the Bill</w:t>
      </w:r>
    </w:p>
    <w:p>
      <w:pPr>
        <w:pStyle w:val="Normal"/>
        <w:rPr>
          <w:b/>
        </w:rPr>
      </w:pPr>
      <w:r>
        <w:rPr>
          <w:b/>
        </w:rPr>
      </w:r>
    </w:p>
    <w:p>
      <w:pPr>
        <w:pStyle w:val="Normal"/>
        <w:rPr>
          <w:b/>
        </w:rPr>
      </w:pPr>
      <w:r>
        <w:rPr>
          <w:b/>
        </w:rPr>
        <w:t>1.1</w:t>
        <w:tab/>
        <w:t>Introduction</w:t>
      </w:r>
    </w:p>
    <w:p>
      <w:pPr>
        <w:pStyle w:val="Normal"/>
        <w:rPr>
          <w:b/>
        </w:rPr>
      </w:pPr>
      <w:r>
        <w:rPr>
          <w:b/>
        </w:rPr>
      </w:r>
    </w:p>
    <w:p>
      <w:pPr>
        <w:pStyle w:val="Normal"/>
        <w:ind w:start="720" w:end="0"/>
        <w:rPr/>
      </w:pPr>
      <w:r>
        <w:rPr/>
        <w:t>The netting related provisions of the Bill have been the subject of extensive discussions among representatives of the Hungarian Ministry of Finance (the "</w:t>
      </w:r>
      <w:r>
        <w:rPr>
          <w:b/>
        </w:rPr>
        <w:t>Ministry</w:t>
      </w:r>
      <w:r>
        <w:rPr/>
        <w:t>"), the Hungarian Ministry of Justice, the National Bank of Hungary and various other financial supervisory authorities. We have been involved in these discussions on behalf of ISDA and EBRD, and have had the opportunity to share our views with the ministries in charge of preparing the various drafts of the Bill. Many of our suggestions have been incorporated in the draft of the Bill submitted to the Parliament.</w:t>
      </w:r>
    </w:p>
    <w:p>
      <w:pPr>
        <w:pStyle w:val="Normal"/>
        <w:ind w:start="720" w:end="0"/>
        <w:rPr/>
      </w:pPr>
      <w:r>
        <w:rPr/>
      </w:r>
    </w:p>
    <w:p>
      <w:pPr>
        <w:pStyle w:val="Normal"/>
        <w:ind w:start="720" w:end="0"/>
        <w:rPr/>
      </w:pPr>
      <w:r>
        <w:rPr/>
        <w:t>The netting related provisions will (i) amend the relevant provisions of the Hungarian Bankruptcy Act (the "</w:t>
      </w:r>
      <w:r>
        <w:rPr>
          <w:b/>
        </w:rPr>
        <w:t>Bankruptcy Act</w:t>
      </w:r>
      <w:r>
        <w:rPr/>
        <w:t xml:space="preserve">"), and (ii) introduce definitions for close-out netting, derivative transactions and commodities. </w:t>
      </w:r>
    </w:p>
    <w:p>
      <w:pPr>
        <w:pStyle w:val="Normal"/>
        <w:ind w:start="720" w:end="0"/>
        <w:rPr/>
      </w:pPr>
      <w:r>
        <w:rPr/>
      </w:r>
    </w:p>
    <w:p>
      <w:pPr>
        <w:pStyle w:val="Normal"/>
        <w:rPr>
          <w:b/>
        </w:rPr>
      </w:pPr>
      <w:r>
        <w:rPr>
          <w:b/>
        </w:rPr>
        <w:t>1.2</w:t>
        <w:tab/>
        <w:t>Provisions amending the Bankruptcy Act</w:t>
      </w:r>
    </w:p>
    <w:p>
      <w:pPr>
        <w:pStyle w:val="Normal"/>
        <w:rPr>
          <w:b/>
        </w:rPr>
      </w:pPr>
      <w:r>
        <w:rPr>
          <w:b/>
        </w:rPr>
      </w:r>
    </w:p>
    <w:p>
      <w:pPr>
        <w:pStyle w:val="BodyTextIndent"/>
        <w:rPr/>
      </w:pPr>
      <w:r>
        <w:rPr/>
        <w:t>The Bill contains the following provisions amending the Bankruptcy Act</w:t>
      </w:r>
      <w:r>
        <w:rPr>
          <w:rStyle w:val="FootnoteCharacters"/>
          <w:rStyle w:val="FootnoteReference"/>
        </w:rPr>
        <w:footnoteReference w:id="2"/>
      </w:r>
      <w:r>
        <w:rPr/>
        <w:t>:</w:t>
      </w:r>
    </w:p>
    <w:p>
      <w:pPr>
        <w:pStyle w:val="Normal"/>
        <w:rPr/>
      </w:pPr>
      <w:r>
        <w:rPr/>
      </w:r>
    </w:p>
    <w:p>
      <w:pPr>
        <w:pStyle w:val="BodyTextIndent3"/>
        <w:spacing w:before="0" w:after="80"/>
        <w:ind w:firstLine="187" w:end="0"/>
        <w:jc w:val="both"/>
        <w:rPr/>
      </w:pPr>
      <w:r>
        <w:rPr>
          <w:i/>
          <w:sz w:val="22"/>
        </w:rPr>
        <w:t>“</w:t>
      </w:r>
      <w:r>
        <w:rPr>
          <w:rFonts w:cs="Times New Roman" w:ascii="Times New Roman" w:hAnsi="Times New Roman"/>
          <w:i/>
          <w:sz w:val="22"/>
          <w:lang w:val="en-US"/>
        </w:rPr>
        <w:t>(1) …</w:t>
      </w:r>
    </w:p>
    <w:p>
      <w:pPr>
        <w:pStyle w:val="BodyTextIndent3"/>
        <w:spacing w:before="0" w:after="80"/>
        <w:ind w:firstLine="187" w:end="0"/>
        <w:jc w:val="both"/>
        <w:rPr>
          <w:rFonts w:ascii="Times New Roman" w:hAnsi="Times New Roman" w:cs="Times New Roman"/>
          <w:i/>
          <w:i/>
          <w:sz w:val="22"/>
          <w:lang w:val="en-US"/>
        </w:rPr>
      </w:pPr>
      <w:r>
        <w:rPr>
          <w:rFonts w:cs="Times New Roman" w:ascii="Times New Roman" w:hAnsi="Times New Roman"/>
          <w:i/>
          <w:sz w:val="22"/>
          <w:lang w:val="en-US"/>
        </w:rPr>
        <w:t>(2) The following section (3) shall be added to Article 28 of the Cstv.:</w:t>
      </w:r>
    </w:p>
    <w:p>
      <w:pPr>
        <w:pStyle w:val="BodyTextIndent3"/>
        <w:spacing w:before="0" w:after="80"/>
        <w:ind w:firstLine="187" w:end="0"/>
        <w:jc w:val="both"/>
        <w:rPr>
          <w:rFonts w:ascii="Times New Roman" w:hAnsi="Times New Roman" w:cs="Times New Roman"/>
          <w:i/>
          <w:i/>
          <w:sz w:val="22"/>
          <w:lang w:val="en-US"/>
        </w:rPr>
      </w:pPr>
      <w:r>
        <w:rPr>
          <w:rFonts w:cs="Times New Roman" w:ascii="Times New Roman" w:hAnsi="Times New Roman"/>
          <w:i/>
          <w:sz w:val="22"/>
          <w:lang w:val="en-US"/>
        </w:rPr>
        <w:t>“</w:t>
      </w:r>
      <w:r>
        <w:rPr>
          <w:rFonts w:cs="Times New Roman" w:ascii="Times New Roman" w:hAnsi="Times New Roman"/>
          <w:i/>
          <w:sz w:val="22"/>
          <w:lang w:val="en-US"/>
        </w:rPr>
        <w:t>(3) If an agreement for close-out netting was concluded between the creditor and the debtor prior to the starting date of liquidation, the creditor shall report the net claim to the receiver as the creditor’s claim.”</w:t>
      </w:r>
    </w:p>
    <w:p>
      <w:pPr>
        <w:pStyle w:val="BodyTextIndent3"/>
        <w:spacing w:before="0" w:after="80"/>
        <w:ind w:firstLine="187" w:end="0"/>
        <w:jc w:val="both"/>
        <w:rPr>
          <w:rFonts w:ascii="Times New Roman" w:hAnsi="Times New Roman" w:cs="Times New Roman"/>
          <w:i/>
          <w:i/>
          <w:sz w:val="22"/>
          <w:lang w:val="en-US"/>
        </w:rPr>
      </w:pPr>
      <w:r>
        <w:rPr>
          <w:rFonts w:cs="Times New Roman" w:ascii="Times New Roman" w:hAnsi="Times New Roman"/>
          <w:i/>
          <w:sz w:val="22"/>
          <w:lang w:val="en-US"/>
        </w:rPr>
        <w:t>(3) …</w:t>
      </w:r>
    </w:p>
    <w:p>
      <w:pPr>
        <w:pStyle w:val="BodyTextIndent3"/>
        <w:spacing w:before="0" w:after="80"/>
        <w:ind w:firstLine="187" w:end="0"/>
        <w:jc w:val="both"/>
        <w:rPr>
          <w:rFonts w:ascii="Times New Roman" w:hAnsi="Times New Roman" w:cs="Times New Roman"/>
          <w:i/>
          <w:i/>
          <w:sz w:val="22"/>
          <w:lang w:val="en-US"/>
        </w:rPr>
      </w:pPr>
      <w:r>
        <w:rPr>
          <w:rFonts w:cs="Times New Roman" w:ascii="Times New Roman" w:hAnsi="Times New Roman"/>
          <w:i/>
          <w:sz w:val="22"/>
          <w:lang w:val="en-US"/>
        </w:rPr>
        <w:t>(4) …</w:t>
      </w:r>
    </w:p>
    <w:p>
      <w:pPr>
        <w:pStyle w:val="BodyTextIndent3"/>
        <w:spacing w:before="0" w:after="80"/>
        <w:ind w:firstLine="187" w:end="0"/>
        <w:jc w:val="both"/>
        <w:rPr>
          <w:rFonts w:ascii="Times New Roman" w:hAnsi="Times New Roman" w:cs="Times New Roman"/>
          <w:i/>
          <w:i/>
          <w:sz w:val="22"/>
          <w:lang w:val="en-US"/>
        </w:rPr>
      </w:pPr>
      <w:r>
        <w:rPr>
          <w:rFonts w:cs="Times New Roman" w:ascii="Times New Roman" w:hAnsi="Times New Roman"/>
          <w:i/>
          <w:sz w:val="22"/>
          <w:lang w:val="en-US"/>
        </w:rPr>
        <w:t>(5) The following section (2) shall be added to Article 40 of the Cstv.:</w:t>
      </w:r>
    </w:p>
    <w:p>
      <w:pPr>
        <w:pStyle w:val="Normal"/>
        <w:ind w:start="720" w:end="0"/>
        <w:rPr>
          <w:i/>
          <w:i/>
          <w:lang w:val="en-US"/>
        </w:rPr>
      </w:pPr>
      <w:r>
        <w:rPr>
          <w:i/>
          <w:lang w:val="en-US"/>
        </w:rPr>
        <w:t>“</w:t>
      </w:r>
      <w:r>
        <w:rPr>
          <w:i/>
          <w:lang w:val="en-US"/>
        </w:rPr>
        <w:t>(2) Netting pursuant to a close-out netting agreement shall not be deemed to be a transaction aimed at misleading creditors and reducing the debtor’s assets.”</w:t>
      </w:r>
    </w:p>
    <w:p>
      <w:pPr>
        <w:pStyle w:val="Normal"/>
        <w:rPr>
          <w:i/>
          <w:i/>
          <w:lang w:val="en-US"/>
        </w:rPr>
      </w:pPr>
      <w:r>
        <w:rPr>
          <w:i/>
          <w:lang w:val="en-US"/>
        </w:rPr>
      </w:r>
    </w:p>
    <w:p>
      <w:pPr>
        <w:pStyle w:val="Normal"/>
        <w:ind w:start="720" w:end="0"/>
        <w:rPr/>
      </w:pPr>
      <w:r>
        <w:rPr/>
        <w:t xml:space="preserve">The proposed new article 28(3) of the Bankruptcy Act will ensure that upon liquidation of the debtor the creditor can submit a net claim to the liquidator calculated pursuant to a close-out netting agreement, which means that the in-the-money party to the derivative transaction will be protected. In addition, the proposed new article 40(2) will make sure that close-out netting agreements are not avoided by the insolvent party by invoking the provisions prohibiting the fraudulent circumvention of restrictions on set-off in the bankruptcy proceedings. </w:t>
      </w:r>
    </w:p>
    <w:p>
      <w:pPr>
        <w:pStyle w:val="Normal"/>
        <w:rPr/>
      </w:pPr>
      <w:r>
        <w:rPr/>
      </w:r>
    </w:p>
    <w:p>
      <w:pPr>
        <w:pStyle w:val="Normal"/>
        <w:rPr>
          <w:b/>
        </w:rPr>
      </w:pPr>
      <w:r>
        <w:rPr>
          <w:b/>
        </w:rPr>
        <w:t>1.3</w:t>
        <w:tab/>
        <w:t>Netting related definitions</w:t>
      </w:r>
    </w:p>
    <w:p>
      <w:pPr>
        <w:pStyle w:val="Normal"/>
        <w:rPr>
          <w:b/>
        </w:rPr>
      </w:pPr>
      <w:r>
        <w:rPr>
          <w:b/>
        </w:rPr>
      </w:r>
    </w:p>
    <w:p>
      <w:pPr>
        <w:pStyle w:val="Normal"/>
        <w:ind w:start="720" w:end="0"/>
        <w:rPr/>
      </w:pPr>
      <w:r>
        <w:rPr/>
        <w:t>The draft of the Bill submitted to the Parliament contains three relevant definitions: (i) close out netting, (ii) derivative transactions, and (iii) commodities. The English translation</w:t>
      </w:r>
      <w:r>
        <w:rPr>
          <w:rStyle w:val="FootnoteCharacters"/>
          <w:rStyle w:val="FootnoteReference"/>
        </w:rPr>
        <w:footnoteReference w:id="3"/>
      </w:r>
      <w:r>
        <w:rPr/>
        <w:t xml:space="preserve"> of the respective definitions are the following:</w:t>
      </w:r>
    </w:p>
    <w:p>
      <w:pPr>
        <w:pStyle w:val="Normal"/>
        <w:ind w:start="720" w:end="0"/>
        <w:rPr/>
      </w:pPr>
      <w:r>
        <w:rPr/>
      </w:r>
    </w:p>
    <w:p>
      <w:pPr>
        <w:pStyle w:val="Normal"/>
        <w:ind w:start="720" w:end="0"/>
        <w:rPr>
          <w:i/>
          <w:i/>
        </w:rPr>
      </w:pPr>
      <w:r>
        <w:rPr>
          <w:i/>
        </w:rPr>
        <w:t>“</w:t>
      </w:r>
      <w:r>
        <w:rPr>
          <w:i/>
        </w:rPr>
        <w:t>close-out netting: transformation of liabilities and claims arising from spot foreign exchange and securities transactions, derivative transactions, agreements involving repo or reverse repo, or securities loans, or other similar financial transactions into one single net liability or claim, as a form of settlement accepted at the market of the given financial product, and as a result of which the liability or the claim is limited only to the thus established net amount”</w:t>
      </w:r>
    </w:p>
    <w:p>
      <w:pPr>
        <w:pStyle w:val="Normal"/>
        <w:ind w:start="720" w:end="0"/>
        <w:rPr>
          <w:i/>
          <w:i/>
        </w:rPr>
      </w:pPr>
      <w:r>
        <w:rPr>
          <w:i/>
        </w:rPr>
      </w:r>
    </w:p>
    <w:p>
      <w:pPr>
        <w:pStyle w:val="BodyTextIndent2"/>
        <w:rPr/>
      </w:pPr>
      <w:r>
        <w:rPr/>
        <w:t>"derivative transactions: transactions the value of which depends on the value of the underlying investment instruments, foreign currency, commodities or reference rate (underlying product) and is the subject of independent trading (derivatives)”</w:t>
      </w:r>
    </w:p>
    <w:p>
      <w:pPr>
        <w:pStyle w:val="Normal"/>
        <w:rPr>
          <w:i/>
          <w:i/>
        </w:rPr>
      </w:pPr>
      <w:r>
        <w:rPr>
          <w:i/>
        </w:rPr>
      </w:r>
    </w:p>
    <w:p>
      <w:pPr>
        <w:pStyle w:val="BodyTextIndent2"/>
        <w:rPr/>
      </w:pPr>
      <w:r>
        <w:rPr/>
        <w:t>" commodities: all marketable tangible items with asset value, or natural resources which can be used as a tangible item, not including financial instruments”</w:t>
      </w:r>
    </w:p>
    <w:p>
      <w:pPr>
        <w:pStyle w:val="Normal"/>
        <w:ind w:start="720" w:end="0"/>
        <w:rPr/>
      </w:pPr>
      <w:r>
        <w:rPr/>
      </w:r>
    </w:p>
    <w:p>
      <w:pPr>
        <w:pStyle w:val="Normal"/>
        <w:ind w:start="720" w:end="0"/>
        <w:rPr/>
      </w:pPr>
      <w:r>
        <w:rPr/>
        <w:t>Note that the netting related definitions would not amend the Bankruptcy Act or other laws, including the Hungarian Civil Code. However, we do not think that this affects the applicability of the netting related provisions in a bankruptcy proceeding.</w:t>
      </w:r>
    </w:p>
    <w:p>
      <w:pPr>
        <w:pStyle w:val="Normal"/>
        <w:ind w:start="720" w:end="0"/>
        <w:rPr/>
      </w:pPr>
      <w:r>
        <w:rPr/>
      </w:r>
    </w:p>
    <w:p>
      <w:pPr>
        <w:pStyle w:val="Heading1"/>
        <w:spacing w:before="0" w:after="0"/>
        <w:ind w:hanging="0" w:start="0"/>
        <w:rPr>
          <w:caps w:val="false"/>
          <w:smallCaps w:val="false"/>
          <w:kern w:val="0"/>
        </w:rPr>
      </w:pPr>
      <w:r>
        <w:rPr>
          <w:caps w:val="false"/>
          <w:smallCaps w:val="false"/>
          <w:kern w:val="0"/>
        </w:rPr>
        <w:t>2.</w:t>
        <w:tab/>
        <w:t>Our view on the netting related provisions</w:t>
      </w:r>
    </w:p>
    <w:p>
      <w:pPr>
        <w:pStyle w:val="Normal"/>
        <w:rPr>
          <w:caps/>
          <w:kern w:val="0"/>
        </w:rPr>
      </w:pPr>
      <w:r>
        <w:rPr>
          <w:caps/>
          <w:kern w:val="0"/>
        </w:rPr>
      </w:r>
    </w:p>
    <w:p>
      <w:pPr>
        <w:pStyle w:val="Normal"/>
        <w:ind w:start="720" w:end="0"/>
        <w:rPr/>
      </w:pPr>
      <w:r>
        <w:rPr/>
        <w:t>We believe that the netting related provisions of the Bill provide legal certainty for the treatment of derivative transactions in a Hungarian bankruptcy proceeding.</w:t>
      </w:r>
    </w:p>
    <w:p>
      <w:pPr>
        <w:pStyle w:val="Normal"/>
        <w:rPr/>
      </w:pPr>
      <w:r>
        <w:rPr/>
      </w:r>
    </w:p>
    <w:p>
      <w:pPr>
        <w:pStyle w:val="BodyTextIndent"/>
        <w:rPr/>
      </w:pPr>
      <w:r>
        <w:rPr/>
        <w:t xml:space="preserve">There are a number of minor points where further improvements could be made. The current definition of "derivative transaction" could be interpreted as covering transferable transactions only (“subject of independent trading”) and is not flexible enough to cover existing products such as credit and weather derivatives. </w:t>
      </w:r>
      <w:bookmarkStart w:id="12" w:name="EMail"/>
      <w:bookmarkEnd w:id="12"/>
      <w:r>
        <w:rPr/>
        <w:t>We believe that, although it would be good for the market generally to have a proper definition for derivative transactions, if the Parliament adopts the above definition of close-out netting, then the current definition of "derivative transactions" is acceptable. In a recent follow-up discussion with a representative of the Ministry we were informed that there is no proposal to amend the definition of close-out netting.</w:t>
      </w:r>
    </w:p>
    <w:p>
      <w:pPr>
        <w:pStyle w:val="Normal"/>
        <w:rPr/>
      </w:pPr>
      <w:r>
        <w:rPr/>
      </w:r>
    </w:p>
    <w:p>
      <w:pPr>
        <w:pStyle w:val="Normal"/>
        <w:rPr/>
      </w:pPr>
      <w:r>
        <w:rPr/>
      </w:r>
    </w:p>
    <w:p>
      <w:pPr>
        <w:pStyle w:val="Heading1"/>
        <w:spacing w:before="0" w:after="0"/>
        <w:ind w:hanging="0" w:start="0"/>
        <w:rPr>
          <w:caps w:val="false"/>
          <w:smallCaps w:val="false"/>
          <w:kern w:val="0"/>
          <w:lang w:val="en-US"/>
        </w:rPr>
      </w:pPr>
      <w:r>
        <w:rPr>
          <w:caps w:val="false"/>
          <w:smallCaps w:val="false"/>
          <w:kern w:val="0"/>
          <w:lang w:val="en-US"/>
        </w:rPr>
        <w:t>B.</w:t>
        <w:tab/>
        <w:t>Cross-border services</w:t>
      </w:r>
    </w:p>
    <w:p>
      <w:pPr>
        <w:pStyle w:val="Normal"/>
        <w:rPr>
          <w:caps/>
          <w:kern w:val="0"/>
          <w:lang w:val="en-US"/>
        </w:rPr>
      </w:pPr>
      <w:r>
        <w:rPr>
          <w:caps/>
          <w:kern w:val="0"/>
          <w:lang w:val="en-US"/>
        </w:rPr>
      </w:r>
    </w:p>
    <w:p>
      <w:pPr>
        <w:pStyle w:val="Normal"/>
        <w:ind w:start="720" w:end="0"/>
        <w:rPr/>
      </w:pPr>
      <w:r>
        <w:rPr/>
        <w:t>Although not specifically netting-law related, there are certain provisions in the Bill which are of concern, as they will have a negative effect on the development of the Hungarian derivatives market. These provisions can also be found in the current Securities Act and represent a substantial obstacle for international banks wishing to enter into derivative transactions with Hungarian counterparties. Dealing in derivatives as a business activity in Hungary, under both the Securities Act and the Bill, qualifies as an investment service, and may only be provided by licensed local banks or licensed local branches or subsidiaries of foreign banks (Articles 81, 82 and 85 of the Bill). Accordingly, international banks cannot make themselves available to Hungarian banks or corporates for cross-border derivatives trading. Under the Penal Code (section 298/E), unauthorised provision of investment services is a criminal offence and subject to imprisonment for up to five years. Therefore, foreign banks are not willing to trade with Hungarian counterparties.</w:t>
      </w:r>
    </w:p>
    <w:p>
      <w:pPr>
        <w:pStyle w:val="Normal"/>
        <w:ind w:start="720" w:end="0"/>
        <w:rPr/>
      </w:pPr>
      <w:r>
        <w:rPr/>
      </w:r>
    </w:p>
    <w:p>
      <w:pPr>
        <w:pStyle w:val="Normal"/>
        <w:ind w:start="720" w:end="0"/>
        <w:rPr/>
      </w:pPr>
      <w:r>
        <w:rPr/>
        <w:t>Under the Bill, investment service providers with a registered seat within the EU will be authorised to provide cross-border investment services from the day when Hungary officially becomes a member of the EU (Articles 85(5) and 407(3)). Until then, however, foreign banks wishing to deal with Hungarian counterparties are exposed to criminal liability.</w:t>
      </w:r>
    </w:p>
    <w:p>
      <w:pPr>
        <w:pStyle w:val="Normal"/>
        <w:ind w:start="720" w:end="0"/>
        <w:rPr/>
      </w:pPr>
      <w:r>
        <w:rPr/>
      </w:r>
    </w:p>
    <w:p>
      <w:pPr>
        <w:pStyle w:val="Normal"/>
        <w:ind w:start="720" w:end="0"/>
        <w:rPr/>
      </w:pPr>
      <w:r>
        <w:rPr/>
        <w:t>Under section 3/A (3) of the Banking Act, financial institutions with a registered seat in an OECD country can provide certain limited financial services (lending and financial leasing) cross-border, provided they are authorised by their home supervisory authority to provide such services. A similar provision with respect to dealing in derivatives cross-border would also be desirable in the Bill. We proposed, therefore, that Article 85 of the Bill be amended as follows:</w:t>
      </w:r>
    </w:p>
    <w:p>
      <w:pPr>
        <w:pStyle w:val="Normal"/>
        <w:rPr/>
      </w:pPr>
      <w:r>
        <w:rPr/>
      </w:r>
    </w:p>
    <w:p>
      <w:pPr>
        <w:pStyle w:val="Normal"/>
        <w:ind w:start="720" w:end="0"/>
        <w:jc w:val="center"/>
        <w:rPr>
          <w:i/>
          <w:i/>
        </w:rPr>
      </w:pPr>
      <w:r>
        <w:rPr>
          <w:i/>
        </w:rPr>
        <w:t>“</w:t>
      </w:r>
      <w:r>
        <w:rPr>
          <w:i/>
        </w:rPr>
        <w:t>Article 85</w:t>
      </w:r>
    </w:p>
    <w:p>
      <w:pPr>
        <w:pStyle w:val="Normal"/>
        <w:ind w:start="720" w:end="0"/>
        <w:rPr>
          <w:i/>
          <w:i/>
        </w:rPr>
      </w:pPr>
      <w:r>
        <w:rPr>
          <w:i/>
        </w:rPr>
      </w:r>
    </w:p>
    <w:p>
      <w:pPr>
        <w:pStyle w:val="Normal"/>
        <w:ind w:start="720" w:end="0"/>
        <w:rPr>
          <w:i/>
          <w:i/>
        </w:rPr>
      </w:pPr>
      <w:r>
        <w:rPr>
          <w:i/>
        </w:rPr>
        <w:t xml:space="preserve">(4) Foreign investment service providers can only engage into investment services in Hungary through a branch office, with the exception in Section (5) and (6).  </w:t>
      </w:r>
    </w:p>
    <w:p>
      <w:pPr>
        <w:pStyle w:val="Normal"/>
        <w:ind w:start="720" w:end="0"/>
        <w:rPr>
          <w:i/>
          <w:i/>
        </w:rPr>
      </w:pPr>
      <w:r>
        <w:rPr>
          <w:i/>
        </w:rPr>
      </w:r>
    </w:p>
    <w:p>
      <w:pPr>
        <w:pStyle w:val="Normal"/>
        <w:ind w:start="720" w:end="0"/>
        <w:rPr>
          <w:i/>
          <w:i/>
        </w:rPr>
      </w:pPr>
      <w:r>
        <w:rPr>
          <w:i/>
        </w:rPr>
        <w:t>(5)…</w:t>
      </w:r>
    </w:p>
    <w:p>
      <w:pPr>
        <w:pStyle w:val="Normal"/>
        <w:ind w:start="720" w:end="0"/>
        <w:rPr>
          <w:i/>
          <w:i/>
        </w:rPr>
      </w:pPr>
      <w:r>
        <w:rPr>
          <w:i/>
        </w:rPr>
      </w:r>
    </w:p>
    <w:p>
      <w:pPr>
        <w:pStyle w:val="Normal"/>
        <w:ind w:start="720" w:end="0"/>
        <w:rPr>
          <w:i/>
          <w:i/>
        </w:rPr>
      </w:pPr>
      <w:r>
        <w:rPr>
          <w:i/>
        </w:rPr>
        <w:t>(6) Foreign investment services providers registered in an OECD country may, in the form of cross-border services, carry out the activities specified under Article 81 (1) (a) and (b), provided they are authorised by their home supervisory authority to provide such services.”</w:t>
      </w:r>
    </w:p>
    <w:p>
      <w:pPr>
        <w:pStyle w:val="Normal"/>
        <w:ind w:start="720" w:end="0"/>
        <w:rPr>
          <w:i/>
          <w:i/>
        </w:rPr>
      </w:pPr>
      <w:r>
        <w:rPr>
          <w:i/>
        </w:rPr>
      </w:r>
    </w:p>
    <w:p>
      <w:pPr>
        <w:pStyle w:val="Normal"/>
        <w:ind w:start="720" w:end="0"/>
        <w:rPr/>
      </w:pPr>
      <w:r>
        <w:rPr/>
        <w:t xml:space="preserve">The representatives of the Ministry informed us that the Hungarian Government has no intention to adopt such an amendment in the near future. This means that for the time being foreign banks that do not have a licensed subsidiary or branch office operating in Hungary will be reluctant to enter into derivative transactions with Hungarian counterparties. </w:t>
      </w:r>
    </w:p>
    <w:p>
      <w:pPr>
        <w:pStyle w:val="Normal"/>
        <w:ind w:start="720" w:end="0"/>
        <w:rPr/>
      </w:pPr>
      <w:r>
        <w:rPr/>
      </w:r>
    </w:p>
    <w:p>
      <w:pPr>
        <w:pStyle w:val="Normal"/>
        <w:ind w:start="720" w:end="0"/>
        <w:rPr/>
      </w:pPr>
      <w:r>
        <w:rPr/>
      </w:r>
    </w:p>
    <w:p>
      <w:pPr>
        <w:pStyle w:val="Normal"/>
        <w:ind w:start="720" w:end="0"/>
        <w:rPr/>
      </w:pPr>
      <w:r>
        <w:rPr/>
        <w:t>We hope that you will find the above information useful. We are looking forward to any comments or suggestions.</w:t>
      </w:r>
    </w:p>
    <w:sectPr>
      <w:headerReference w:type="default" r:id="rId2"/>
      <w:headerReference w:type="first" r:id="rId3"/>
      <w:footnotePr>
        <w:numFmt w:val="decimal"/>
      </w:footnotePr>
      <w:type w:val="nextPage"/>
      <w:pgSz w:w="11906" w:h="16838"/>
      <w:pgMar w:left="1440" w:right="1440" w:gutter="0" w:header="720" w:top="180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pprplGoth BT">
    <w:altName w:val="Arial"/>
    <w:charset w:val="00" w:characterSet="windows-1252"/>
    <w:family w:val="swiss"/>
    <w:pitch w:val="variable"/>
  </w:font>
  <w:font w:name="Tahoma">
    <w:charset w:val="00" w:characterSet="windows-1252"/>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translation is not an official translation. It was prepared by the lawyers of Allen &amp; Overy in Budapest.</w:t>
      </w:r>
    </w:p>
  </w:footnote>
  <w:footnote w:id="3">
    <w:p>
      <w:pPr>
        <w:pStyle w:val="FootnoteText"/>
        <w:rPr/>
      </w:pPr>
      <w:r>
        <w:rPr>
          <w:rStyle w:val="FootnoteCharacters"/>
        </w:rPr>
        <w:footnoteRef/>
      </w:r>
      <w:r>
        <w:rPr/>
        <w:t xml:space="preserve"> </w:t>
      </w:r>
      <w:r>
        <w:rPr/>
        <w:t>The translation is not an official translation. It was prepared by the lawyers of Allen &amp; Overy in Budapest.</w:t>
      </w:r>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1080" w:leader="none"/>
        <w:tab w:val="right" w:pos="8910" w:leader="none"/>
      </w:tabs>
      <w:rPr>
        <w:rStyle w:val="PageNumber"/>
      </w:rPr>
    </w:pPr>
    <w:r>
      <w:rPr/>
      <w:t>Subject:</w:t>
      <w:tab/>
      <w:t>Hungarian netting legislation</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Normal"/>
      <w:tabs>
        <w:tab w:val="clear" w:pos="720"/>
        <w:tab w:val="left" w:pos="1080" w:leader="none"/>
        <w:tab w:val="right" w:pos="8910" w:leader="none"/>
      </w:tabs>
      <w:rPr/>
    </w:pPr>
    <w:r>
      <w:rPr>
        <w:rStyle w:val="PageNumber"/>
      </w:rPr>
      <w:t>From:</w:t>
      <w:tab/>
      <w:t>Allen &amp; Overy</w:t>
      <w:tab/>
    </w:r>
  </w:p>
  <w:p>
    <w:pPr>
      <w:pStyle w:val="Normal"/>
      <w:tabs>
        <w:tab w:val="clear" w:pos="720"/>
        <w:tab w:val="left" w:pos="1080" w:leader="none"/>
        <w:tab w:val="right" w:pos="8910" w:leader="none"/>
      </w:tabs>
      <w:rPr>
        <w:rStyle w:val="PageNumber"/>
      </w:rPr>
    </w:pPr>
    <w:r>
      <w:rPr/>
    </w:r>
  </w:p>
  <w:p>
    <w:pPr>
      <w:pStyle w:val="Normal"/>
      <w:tabs>
        <w:tab w:val="clear" w:pos="720"/>
        <w:tab w:val="left" w:pos="1080" w:leader="none"/>
        <w:tab w:val="right" w:pos="891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docVars>
    <w:docVar w:name="Cancel" w:val="0"/>
    <w:docVar w:name="DocRef" w:val="ICM:556199.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GB" w:bidi="ar-SA" w:eastAsia="zh-CN"/>
    </w:rPr>
  </w:style>
  <w:style w:type="paragraph" w:styleId="Heading1">
    <w:name w:val="heading 1"/>
    <w:basedOn w:val="Normal"/>
    <w:next w:val="Normal"/>
    <w:qFormat/>
    <w:pPr>
      <w:keepNext w:val="true"/>
      <w:numPr>
        <w:ilvl w:val="0"/>
        <w:numId w:val="1"/>
      </w:numPr>
      <w:spacing w:before="0" w:after="240"/>
      <w:outlineLvl w:val="0"/>
    </w:pPr>
    <w:rPr>
      <w:b/>
      <w:caps/>
      <w:kern w:val="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CopprplGoth BT;Arial" w:hAnsi="CopprplGoth BT;Arial" w:cs="CopprplGoth BT;Arial"/>
      <w:color w:val="000000"/>
      <w:sz w:val="42"/>
    </w:rPr>
  </w:style>
  <w:style w:type="paragraph" w:styleId="BodyText">
    <w:name w:val="Body Text"/>
    <w:basedOn w:val="Normal"/>
    <w:pPr/>
    <w:rPr>
      <w:sz w:val="3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color w:val="00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Indent3">
    <w:name w:val="Body Text Indent 3"/>
    <w:basedOn w:val="Normal"/>
    <w:qFormat/>
    <w:pPr>
      <w:ind w:hanging="0" w:start="720" w:end="0"/>
      <w:jc w:val="start"/>
    </w:pPr>
    <w:rPr>
      <w:rFonts w:ascii="Arial" w:hAnsi="Arial" w:cs="Arial"/>
      <w:sz w:val="24"/>
    </w:rPr>
  </w:style>
  <w:style w:type="paragraph" w:styleId="BodyText2">
    <w:name w:val="Body Text 2"/>
    <w:basedOn w:val="Normal"/>
    <w:qFormat/>
    <w:pPr/>
    <w:rPr>
      <w:i/>
      <w:lang w:val="hu-HU"/>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0" w:start="720" w:end="0"/>
    </w:pPr>
    <w:rPr>
      <w:i/>
    </w:rPr>
  </w:style>
  <w:style w:type="paragraph" w:styleId="FootnoteText">
    <w:name w:val="footnote text"/>
    <w:basedOn w:val="Normal"/>
    <w:pPr/>
    <w:rPr>
      <w:sz w:val="16"/>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NOTE</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2001-11-16T09:33:00Z</dcterms:created>
  <dc:creator>Allen &amp; Overy</dc:creator>
  <dc:description/>
  <dc:language>en-CA</dc:language>
  <cp:lastModifiedBy>USER</cp:lastModifiedBy>
  <cp:lastPrinted>2001-11-15T17:04:00Z</cp:lastPrinted>
  <dcterms:modified xsi:type="dcterms:W3CDTF">2001-11-16T09:33:00Z</dcterms:modified>
  <cp:revision>2</cp:revision>
  <dc:subject/>
  <dc:title>ALLEN &amp; OVERY</dc:title>
</cp:coreProperties>
</file>