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lang w:val="en-CA"/>
        </w:rPr>
      </w:pPr>
      <w:r>
        <w:rPr>
          <w:lang w:val="en-CA"/>
        </w:rPr>
        <w:t>ALLEN &amp; OVERY</w:t>
      </w:r>
    </w:p>
    <w:p>
      <w:pPr>
        <w:pStyle w:val="Heading"/>
        <w:rPr>
          <w:lang w:val="en-CA"/>
        </w:rPr>
      </w:pPr>
      <w:r>
        <w:rPr>
          <w:lang w:val="en-CA"/>
        </w:rPr>
      </w:r>
    </w:p>
    <w:p>
      <w:pPr>
        <w:pStyle w:val="Subtitle"/>
        <w:rPr>
          <w:b w:val="false"/>
          <w:sz w:val="28"/>
        </w:rPr>
      </w:pPr>
      <w:r>
        <w:rPr/>
        <w:t>MEMORANDUM</w:t>
      </w:r>
      <w:bookmarkStart w:id="0" w:name="Status"/>
      <w:bookmarkEnd w:id="0"/>
    </w:p>
    <w:p>
      <w:pPr>
        <w:pStyle w:val="Normal"/>
        <w:tabs>
          <w:tab w:val="clear" w:pos="720"/>
          <w:tab w:val="left" w:pos="5670" w:leader="none"/>
        </w:tabs>
        <w:rPr>
          <w:b/>
          <w:sz w:val="28"/>
        </w:rPr>
      </w:pPr>
      <w:r>
        <w:rPr>
          <w:b/>
          <w:sz w:val="28"/>
        </w:rPr>
      </w:r>
    </w:p>
    <w:p>
      <w:pPr>
        <w:pStyle w:val="Normal"/>
        <w:tabs>
          <w:tab w:val="clear" w:pos="720"/>
          <w:tab w:val="left" w:pos="5670" w:leader="none"/>
        </w:tabs>
        <w:rPr>
          <w:b/>
        </w:rPr>
      </w:pPr>
      <w:r>
        <w:rPr>
          <w:b/>
        </w:rPr>
      </w:r>
    </w:p>
    <w:tbl>
      <w:tblPr>
        <w:tblW w:w="9244" w:type="dxa"/>
        <w:jc w:val="start"/>
        <w:tblInd w:w="0" w:type="dxa"/>
        <w:tblLayout w:type="fixed"/>
        <w:tblCellMar>
          <w:top w:w="0" w:type="dxa"/>
          <w:start w:w="108" w:type="dxa"/>
          <w:bottom w:w="0" w:type="dxa"/>
          <w:end w:w="108" w:type="dxa"/>
        </w:tblCellMar>
      </w:tblPr>
      <w:tblGrid>
        <w:gridCol w:w="1368"/>
        <w:gridCol w:w="7876"/>
      </w:tblGrid>
      <w:tr>
        <w:trPr/>
        <w:tc>
          <w:tcPr>
            <w:tcW w:w="1368" w:type="dxa"/>
            <w:tcBorders/>
          </w:tcPr>
          <w:p>
            <w:pPr>
              <w:pStyle w:val="Normal"/>
              <w:tabs>
                <w:tab w:val="clear" w:pos="720"/>
                <w:tab w:val="right" w:pos="8931" w:leader="none"/>
              </w:tabs>
              <w:rPr/>
            </w:pPr>
            <w:r>
              <w:rPr/>
              <w:t>To:</w:t>
            </w:r>
          </w:p>
        </w:tc>
        <w:tc>
          <w:tcPr>
            <w:tcW w:w="7876" w:type="dxa"/>
            <w:tcBorders/>
          </w:tcPr>
          <w:p>
            <w:pPr>
              <w:pStyle w:val="Normal"/>
              <w:tabs>
                <w:tab w:val="clear" w:pos="720"/>
                <w:tab w:val="right" w:pos="8931" w:leader="none"/>
              </w:tabs>
              <w:rPr/>
            </w:pPr>
            <w:bookmarkStart w:id="1" w:name="To"/>
            <w:bookmarkEnd w:id="1"/>
            <w:r>
              <w:rPr/>
              <w:t>Members of the ISDA Documentation and Market Practice Committees and 2000 ISDA Definitions Task Force</w:t>
            </w:r>
          </w:p>
        </w:tc>
      </w:tr>
      <w:tr>
        <w:trPr/>
        <w:tc>
          <w:tcPr>
            <w:tcW w:w="1368" w:type="dxa"/>
            <w:tcBorders/>
          </w:tcPr>
          <w:p>
            <w:pPr>
              <w:pStyle w:val="Normal"/>
              <w:tabs>
                <w:tab w:val="clear" w:pos="720"/>
                <w:tab w:val="right" w:pos="8931" w:leader="none"/>
              </w:tabs>
              <w:snapToGrid w:val="false"/>
              <w:rPr/>
            </w:pPr>
            <w:r>
              <w:rPr/>
            </w:r>
            <w:bookmarkStart w:id="2" w:name="Copy"/>
            <w:bookmarkStart w:id="3" w:name="Copy"/>
            <w:bookmarkEnd w:id="3"/>
          </w:p>
        </w:tc>
        <w:tc>
          <w:tcPr>
            <w:tcW w:w="7876" w:type="dxa"/>
            <w:tcBorders/>
          </w:tcPr>
          <w:p>
            <w:pPr>
              <w:pStyle w:val="Normal"/>
              <w:tabs>
                <w:tab w:val="clear" w:pos="720"/>
                <w:tab w:val="right" w:pos="8931" w:leader="none"/>
              </w:tabs>
              <w:snapToGrid w:val="false"/>
              <w:rPr/>
            </w:pPr>
            <w:r>
              <w:rPr/>
            </w:r>
          </w:p>
        </w:tc>
      </w:tr>
      <w:tr>
        <w:trPr/>
        <w:tc>
          <w:tcPr>
            <w:tcW w:w="1368" w:type="dxa"/>
            <w:tcBorders/>
          </w:tcPr>
          <w:p>
            <w:pPr>
              <w:pStyle w:val="Normal"/>
              <w:tabs>
                <w:tab w:val="clear" w:pos="720"/>
                <w:tab w:val="right" w:pos="8931" w:leader="none"/>
              </w:tabs>
              <w:rPr/>
            </w:pPr>
            <w:r>
              <w:rPr/>
              <w:t>From:</w:t>
            </w:r>
          </w:p>
        </w:tc>
        <w:tc>
          <w:tcPr>
            <w:tcW w:w="7876" w:type="dxa"/>
            <w:tcBorders/>
          </w:tcPr>
          <w:p>
            <w:pPr>
              <w:pStyle w:val="Normal"/>
              <w:tabs>
                <w:tab w:val="clear" w:pos="720"/>
                <w:tab w:val="right" w:pos="8931" w:leader="none"/>
              </w:tabs>
              <w:rPr/>
            </w:pPr>
            <w:bookmarkStart w:id="4" w:name="From"/>
            <w:bookmarkEnd w:id="4"/>
            <w:r>
              <w:rPr/>
              <w:t>John Berry, Richard Tredgett</w:t>
            </w:r>
          </w:p>
        </w:tc>
      </w:tr>
      <w:tr>
        <w:trPr/>
        <w:tc>
          <w:tcPr>
            <w:tcW w:w="1368" w:type="dxa"/>
            <w:tcBorders/>
          </w:tcPr>
          <w:p>
            <w:pPr>
              <w:pStyle w:val="Normal"/>
              <w:tabs>
                <w:tab w:val="clear" w:pos="720"/>
                <w:tab w:val="right" w:pos="8931" w:leader="none"/>
              </w:tabs>
              <w:snapToGrid w:val="false"/>
              <w:rPr/>
            </w:pPr>
            <w:r>
              <w:rPr/>
            </w:r>
          </w:p>
        </w:tc>
        <w:tc>
          <w:tcPr>
            <w:tcW w:w="7876" w:type="dxa"/>
            <w:tcBorders/>
          </w:tcPr>
          <w:p>
            <w:pPr>
              <w:pStyle w:val="Normal"/>
              <w:tabs>
                <w:tab w:val="clear" w:pos="720"/>
                <w:tab w:val="right" w:pos="8931" w:leader="none"/>
              </w:tabs>
              <w:snapToGrid w:val="false"/>
              <w:rPr/>
            </w:pPr>
            <w:r>
              <w:rPr/>
            </w:r>
          </w:p>
        </w:tc>
      </w:tr>
      <w:tr>
        <w:trPr/>
        <w:tc>
          <w:tcPr>
            <w:tcW w:w="1368" w:type="dxa"/>
            <w:tcBorders/>
          </w:tcPr>
          <w:p>
            <w:pPr>
              <w:pStyle w:val="Normal"/>
              <w:tabs>
                <w:tab w:val="clear" w:pos="720"/>
                <w:tab w:val="right" w:pos="8931" w:leader="none"/>
              </w:tabs>
              <w:rPr/>
            </w:pPr>
            <w:r>
              <w:rPr/>
              <w:t>Date:</w:t>
            </w:r>
          </w:p>
        </w:tc>
        <w:tc>
          <w:tcPr>
            <w:tcW w:w="7876" w:type="dxa"/>
            <w:tcBorders/>
          </w:tcPr>
          <w:p>
            <w:pPr>
              <w:pStyle w:val="Normal"/>
              <w:tabs>
                <w:tab w:val="clear" w:pos="720"/>
                <w:tab w:val="right" w:pos="8931" w:leader="none"/>
              </w:tabs>
              <w:rPr/>
            </w:pPr>
            <w:bookmarkStart w:id="5" w:name="Date"/>
            <w:bookmarkEnd w:id="5"/>
            <w:r>
              <w:rPr/>
              <w:t>10th February, 2000</w:t>
            </w:r>
          </w:p>
        </w:tc>
      </w:tr>
      <w:tr>
        <w:trPr/>
        <w:tc>
          <w:tcPr>
            <w:tcW w:w="1368" w:type="dxa"/>
            <w:tcBorders/>
          </w:tcPr>
          <w:p>
            <w:pPr>
              <w:pStyle w:val="Normal"/>
              <w:tabs>
                <w:tab w:val="clear" w:pos="720"/>
                <w:tab w:val="right" w:pos="8931" w:leader="none"/>
              </w:tabs>
              <w:snapToGrid w:val="false"/>
              <w:rPr/>
            </w:pPr>
            <w:r>
              <w:rPr/>
            </w:r>
          </w:p>
        </w:tc>
        <w:tc>
          <w:tcPr>
            <w:tcW w:w="7876" w:type="dxa"/>
            <w:tcBorders/>
          </w:tcPr>
          <w:p>
            <w:pPr>
              <w:pStyle w:val="Normal"/>
              <w:tabs>
                <w:tab w:val="clear" w:pos="720"/>
                <w:tab w:val="left" w:pos="7660" w:leader="none"/>
                <w:tab w:val="right" w:pos="8931" w:leader="none"/>
              </w:tabs>
              <w:snapToGrid w:val="false"/>
              <w:rPr/>
            </w:pPr>
            <w:r>
              <w:rPr/>
            </w:r>
          </w:p>
        </w:tc>
      </w:tr>
      <w:tr>
        <w:trPr/>
        <w:tc>
          <w:tcPr>
            <w:tcW w:w="1368" w:type="dxa"/>
            <w:tcBorders/>
          </w:tcPr>
          <w:p>
            <w:pPr>
              <w:pStyle w:val="Normal"/>
              <w:tabs>
                <w:tab w:val="clear" w:pos="720"/>
                <w:tab w:val="right" w:pos="8931" w:leader="none"/>
              </w:tabs>
              <w:rPr/>
            </w:pPr>
            <w:r>
              <w:rPr/>
              <w:t>Subject:</w:t>
            </w:r>
          </w:p>
        </w:tc>
        <w:tc>
          <w:tcPr>
            <w:tcW w:w="7876" w:type="dxa"/>
            <w:tcBorders/>
          </w:tcPr>
          <w:p>
            <w:pPr>
              <w:pStyle w:val="Normal"/>
              <w:tabs>
                <w:tab w:val="clear" w:pos="720"/>
                <w:tab w:val="right" w:pos="8931" w:leader="none"/>
              </w:tabs>
              <w:rPr>
                <w:b/>
              </w:rPr>
            </w:pPr>
            <w:bookmarkStart w:id="6" w:name="Subject"/>
            <w:bookmarkEnd w:id="6"/>
            <w:r>
              <w:rPr>
                <w:b/>
              </w:rPr>
              <w:t>2000 ISDA Definitions</w:t>
            </w:r>
          </w:p>
        </w:tc>
      </w:tr>
    </w:tbl>
    <w:p>
      <w:pPr>
        <w:pStyle w:val="Normal"/>
        <w:pBdr>
          <w:bottom w:val="single" w:sz="6" w:space="1" w:color="000000"/>
        </w:pBdr>
        <w:tabs>
          <w:tab w:val="clear" w:pos="720"/>
          <w:tab w:val="right" w:pos="9000" w:leader="none"/>
        </w:tabs>
        <w:rPr>
          <w:sz w:val="16"/>
        </w:rPr>
      </w:pPr>
      <w:r>
        <w:rPr>
          <w:sz w:val="16"/>
        </w:rPr>
        <w:tab/>
      </w:r>
      <w:bookmarkStart w:id="7" w:name="DocRef"/>
      <w:bookmarkEnd w:id="7"/>
      <w:r>
        <w:rPr>
          <w:sz w:val="16"/>
        </w:rPr>
        <w:t>ICM:405265.1</w:t>
      </w:r>
    </w:p>
    <w:p>
      <w:pPr>
        <w:pStyle w:val="Normal"/>
        <w:rPr>
          <w:sz w:val="16"/>
        </w:rPr>
      </w:pPr>
      <w:r>
        <w:rPr>
          <w:sz w:val="16"/>
        </w:rPr>
      </w:r>
      <w:bookmarkStart w:id="8" w:name="NoteBody"/>
      <w:bookmarkStart w:id="9" w:name="NoteBody"/>
      <w:bookmarkEnd w:id="9"/>
    </w:p>
    <w:p>
      <w:pPr>
        <w:pStyle w:val="Normal"/>
        <w:rPr/>
      </w:pPr>
      <w:r>
        <w:rPr/>
        <w:t>Further to the Memorandum you received last week, please find attached a draft of each of the 2000 ISDA Definitions (the "Definitions"), the Annex to the 2000 ISDA Definitions (the "Annex") and the NCU Supplement to the 2000 ISDA Definitions (the "NCU Supplement").  By providing these drafts, ISDA wishes to solicit the views of a broad cross-section of its members.  The drafts are based on feedback received from ISDA members taking part in the 2000 ISDA Definitions Task Force (the "Task Force").</w:t>
      </w:r>
    </w:p>
    <w:p>
      <w:pPr>
        <w:pStyle w:val="Normal"/>
        <w:rPr/>
      </w:pPr>
      <w:r>
        <w:rPr/>
      </w:r>
    </w:p>
    <w:p>
      <w:pPr>
        <w:pStyle w:val="Normal"/>
        <w:rPr/>
      </w:pPr>
      <w:r>
        <w:rPr/>
        <w:t>The 2000 ISDA Definitions are intended to be a consolidation and update of the 1991 ISDA Definitions, the 1998 Supplement to the 1991 ISDA Definitions (the "1998 Supplement") and the 1998 ISDA Euro Definitions (the "Euro Definitions").  Given the principal purpose of consolidation, substantive modifications have been kept to a minimum.  Where, however, an issue that needs to be addressed has been identified, appropriate amendments have been made.</w:t>
      </w:r>
    </w:p>
    <w:p>
      <w:pPr>
        <w:pStyle w:val="Normal"/>
        <w:rPr/>
      </w:pPr>
      <w:r>
        <w:rPr/>
      </w:r>
    </w:p>
    <w:p>
      <w:pPr>
        <w:pStyle w:val="Normal"/>
        <w:rPr/>
      </w:pPr>
      <w:r>
        <w:rPr/>
        <w:t>This note is intended to assist review of these documents, by explaining their structure, identifying the amendments that have been made and commenting on some of the issues that have arisen during their preparation.</w:t>
      </w:r>
    </w:p>
    <w:p>
      <w:pPr>
        <w:pStyle w:val="Normal"/>
        <w:rPr/>
      </w:pPr>
      <w:r>
        <w:rPr/>
      </w:r>
    </w:p>
    <w:p>
      <w:pPr>
        <w:pStyle w:val="Normal"/>
        <w:rPr>
          <w:b/>
        </w:rPr>
      </w:pPr>
      <w:r>
        <w:rPr>
          <w:b/>
        </w:rPr>
        <w:t>REVIEW BY ISDA MEMBERS</w:t>
      </w:r>
    </w:p>
    <w:p>
      <w:pPr>
        <w:pStyle w:val="Normal"/>
        <w:rPr>
          <w:b/>
        </w:rPr>
      </w:pPr>
      <w:r>
        <w:rPr>
          <w:b/>
        </w:rPr>
      </w:r>
    </w:p>
    <w:p>
      <w:pPr>
        <w:pStyle w:val="Normal"/>
        <w:rPr/>
      </w:pPr>
      <w:r>
        <w:rPr/>
        <w:t>ISDA intends to publish the Definitions in time for its Annual General Meeting in March 2000.</w:t>
      </w:r>
    </w:p>
    <w:p>
      <w:pPr>
        <w:pStyle w:val="Normal"/>
        <w:rPr/>
      </w:pPr>
      <w:r>
        <w:rPr/>
      </w:r>
    </w:p>
    <w:p>
      <w:pPr>
        <w:pStyle w:val="Normal"/>
        <w:rPr/>
      </w:pPr>
      <w:r>
        <w:rPr/>
        <w:t xml:space="preserve">We therefore encourage all members to review the draft Definitions (including the Annex) and the draft NCU Supplement in detail, and to forward any comments as soon as possible (and, preferably, by 22nd February) to John Berry and Richard Tredgett of Allen &amp; Overy by e-mail at </w:t>
      </w:r>
      <w:hyperlink r:id="rId2">
        <w:r>
          <w:rPr>
            <w:rStyle w:val="Hyperlink"/>
          </w:rPr>
          <w:t>john.berry@allenovery.com</w:t>
        </w:r>
      </w:hyperlink>
      <w:r>
        <w:rPr/>
        <w:t xml:space="preserve"> and </w:t>
      </w:r>
      <w:hyperlink r:id="rId3">
        <w:r>
          <w:rPr>
            <w:rStyle w:val="Hyperlink"/>
          </w:rPr>
          <w:t>richard.tredgett@allenovery.com</w:t>
        </w:r>
      </w:hyperlink>
      <w:r>
        <w:rPr/>
        <w:t xml:space="preserve">, or by fax on (+44) 171 330 9999.  Please also send a copy to ISDA to the attention of Angela Papesch by e-mail at </w:t>
      </w:r>
      <w:hyperlink r:id="rId4">
        <w:r>
          <w:rPr>
            <w:rStyle w:val="Hyperlink"/>
          </w:rPr>
          <w:t>apapesch@isda-eur.org</w:t>
        </w:r>
      </w:hyperlink>
      <w:r>
        <w:rPr/>
        <w:t xml:space="preserve"> or by fax on (+44) 171 330 3555.</w:t>
      </w:r>
    </w:p>
    <w:p>
      <w:pPr>
        <w:pStyle w:val="Normal"/>
        <w:rPr/>
      </w:pPr>
      <w:r>
        <w:rPr/>
      </w:r>
    </w:p>
    <w:p>
      <w:pPr>
        <w:pStyle w:val="Normal"/>
        <w:rPr>
          <w:b/>
        </w:rPr>
      </w:pPr>
      <w:r>
        <w:rPr>
          <w:b/>
        </w:rPr>
        <w:t>STRUCTURE</w:t>
      </w:r>
    </w:p>
    <w:p>
      <w:pPr>
        <w:pStyle w:val="Normal"/>
        <w:rPr>
          <w:b/>
        </w:rPr>
      </w:pPr>
      <w:r>
        <w:rPr>
          <w:b/>
        </w:rPr>
      </w:r>
    </w:p>
    <w:p>
      <w:pPr>
        <w:pStyle w:val="Normal"/>
        <w:rPr>
          <w:b/>
        </w:rPr>
      </w:pPr>
      <w:r>
        <w:rPr>
          <w:b/>
        </w:rPr>
        <w:t>The Definitions</w:t>
      </w:r>
    </w:p>
    <w:p>
      <w:pPr>
        <w:pStyle w:val="Normal"/>
        <w:rPr>
          <w:b/>
        </w:rPr>
      </w:pPr>
      <w:r>
        <w:rPr>
          <w:b/>
        </w:rPr>
      </w:r>
    </w:p>
    <w:p>
      <w:pPr>
        <w:pStyle w:val="Normal"/>
        <w:rPr/>
      </w:pPr>
      <w:r>
        <w:rPr/>
        <w:t>The draft Definitions really consist of two parts: the main body of the Definitions and the Annex.</w:t>
      </w:r>
    </w:p>
    <w:p>
      <w:pPr>
        <w:pStyle w:val="Normal"/>
        <w:rPr/>
      </w:pPr>
      <w:r>
        <w:rPr/>
      </w:r>
      <w:r>
        <w:br w:type="page"/>
      </w:r>
    </w:p>
    <w:p>
      <w:pPr>
        <w:pStyle w:val="Normal"/>
        <w:rPr>
          <w:b/>
        </w:rPr>
      </w:pPr>
      <w:r>
        <w:rPr>
          <w:b/>
        </w:rPr>
        <w:t>The Annex</w:t>
      </w:r>
    </w:p>
    <w:p>
      <w:pPr>
        <w:pStyle w:val="Normal"/>
        <w:rPr>
          <w:b/>
        </w:rPr>
      </w:pPr>
      <w:r>
        <w:rPr>
          <w:b/>
        </w:rPr>
      </w:r>
    </w:p>
    <w:p>
      <w:pPr>
        <w:pStyle w:val="Normal"/>
        <w:rPr/>
      </w:pPr>
      <w:r>
        <w:rPr/>
        <w:t xml:space="preserve">The Annex forms a part of the Definitions and operates in a similar way to Annex A of the 1998 FX and Currency Option Definitions.  It contains currency and floating rate option definitions, and all other provisions that are likely to need amending in the event of further member states adopting the euro or changes in floating rate options.  ISDA might publish it in a loose-leaf format (and on the website) to accommodate such amendments.  </w:t>
      </w:r>
    </w:p>
    <w:p>
      <w:pPr>
        <w:pStyle w:val="Normal"/>
        <w:rPr/>
      </w:pPr>
      <w:r>
        <w:rPr/>
      </w:r>
    </w:p>
    <w:p>
      <w:pPr>
        <w:pStyle w:val="Normal"/>
        <w:rPr>
          <w:b/>
        </w:rPr>
      </w:pPr>
      <w:r>
        <w:rPr>
          <w:b/>
        </w:rPr>
        <w:t>The NCU Supplement</w:t>
      </w:r>
    </w:p>
    <w:p>
      <w:pPr>
        <w:pStyle w:val="Normal"/>
        <w:rPr>
          <w:b/>
        </w:rPr>
      </w:pPr>
      <w:r>
        <w:rPr>
          <w:b/>
        </w:rPr>
      </w:r>
    </w:p>
    <w:p>
      <w:pPr>
        <w:pStyle w:val="Normal"/>
        <w:rPr/>
      </w:pPr>
      <w:r>
        <w:rPr/>
        <w:t>The NCU Supplement contains definitions and provisions relevant to "National Currency Units" (the former currencies of the member states of the European Union that have adopted the euro), the floating rate options in respect of those National Currency Units and certain other relevant provisions.</w:t>
      </w:r>
    </w:p>
    <w:p>
      <w:pPr>
        <w:pStyle w:val="Normal"/>
        <w:rPr/>
      </w:pPr>
      <w:r>
        <w:rPr/>
      </w:r>
    </w:p>
    <w:p>
      <w:pPr>
        <w:pStyle w:val="Normal"/>
        <w:rPr/>
      </w:pPr>
      <w:r>
        <w:rPr/>
        <w:t>In contrast to the Annex, it has been proposed that the NCU Supplement should not form a part of the Definitions.  It has been drafted as a stand-alone document that (as currently envisaged) will be deemed to be incorporated into a document that incorporates the Definitions and that uses a word or phrase contained in the NCU Supplement.  The parties are, of course, free to incorporate it into a document expressly.  Although the NCU Supplement has been drafted to enable institutions to enter into trades denominated in National Currency Units until 1st January, 2002, it has been kept separate from the Definitions because, after that date, it should cease to be of any relevance.  Because of its limited relevance, the NCU Supplement might be published on the ISDA website only.</w:t>
      </w:r>
    </w:p>
    <w:p>
      <w:pPr>
        <w:pStyle w:val="Normal"/>
        <w:rPr/>
      </w:pPr>
      <w:r>
        <w:rPr/>
      </w:r>
    </w:p>
    <w:p>
      <w:pPr>
        <w:pStyle w:val="Normal"/>
        <w:rPr/>
      </w:pPr>
      <w:r>
        <w:rPr/>
        <w:t>Please note that the structure discussed above is by no means set in stone, although feedback from the Task Force has been generally favourable.  The overriding aim is to produce a document that is both user friendly and flexible enough to be capable of being updated more easily and quickly than previous sets of definitions.</w:t>
      </w:r>
    </w:p>
    <w:p>
      <w:pPr>
        <w:pStyle w:val="Normal"/>
        <w:rPr/>
      </w:pPr>
      <w:r>
        <w:rPr/>
      </w:r>
    </w:p>
    <w:p>
      <w:pPr>
        <w:pStyle w:val="Normal"/>
        <w:rPr/>
      </w:pPr>
      <w:r>
        <w:rPr/>
        <w:t xml:space="preserve">There follows a discussion of the amendments that have been made and the issues that have arisen so far during the consolidating and updating process. </w:t>
      </w:r>
    </w:p>
    <w:p>
      <w:pPr>
        <w:pStyle w:val="Normal"/>
        <w:rPr/>
      </w:pPr>
      <w:r>
        <w:rPr/>
      </w:r>
    </w:p>
    <w:p>
      <w:pPr>
        <w:pStyle w:val="Normal"/>
        <w:rPr>
          <w:b/>
        </w:rPr>
      </w:pPr>
      <w:r>
        <w:rPr>
          <w:b/>
        </w:rPr>
        <w:t>AMENDMENTS/ISSUES</w:t>
      </w:r>
    </w:p>
    <w:p>
      <w:pPr>
        <w:pStyle w:val="Normal"/>
        <w:rPr>
          <w:b/>
        </w:rPr>
      </w:pPr>
      <w:r>
        <w:rPr>
          <w:b/>
        </w:rPr>
      </w:r>
    </w:p>
    <w:p>
      <w:pPr>
        <w:pStyle w:val="Normal"/>
        <w:rPr>
          <w:b/>
        </w:rPr>
      </w:pPr>
      <w:r>
        <w:rPr>
          <w:b/>
        </w:rPr>
        <w:t>Section 1.1.  Swap Transaction</w:t>
      </w:r>
    </w:p>
    <w:p>
      <w:pPr>
        <w:pStyle w:val="Normal"/>
        <w:rPr>
          <w:b/>
        </w:rPr>
      </w:pPr>
      <w:r>
        <w:rPr>
          <w:b/>
        </w:rPr>
      </w:r>
    </w:p>
    <w:p>
      <w:pPr>
        <w:pStyle w:val="Normal"/>
        <w:rPr/>
      </w:pPr>
      <w:r>
        <w:rPr/>
        <w:t>The definition of "Swap Transaction" has been amended so that it now includes a reference to any Option Transaction (which itself is defined in Section 10.1), and to any transaction to which the Definitions are specified to apply.</w:t>
      </w:r>
    </w:p>
    <w:p>
      <w:pPr>
        <w:pStyle w:val="Normal"/>
        <w:rPr/>
      </w:pPr>
      <w:r>
        <w:rPr/>
      </w:r>
    </w:p>
    <w:p>
      <w:pPr>
        <w:pStyle w:val="Normal"/>
        <w:rPr/>
      </w:pPr>
      <w:r>
        <w:rPr/>
        <w:t>The amended definition also reflects a change made throughout the Definitions - all references to commodity and equity price options have been removed.  ISDA has published other product-specific sets of definitions that specifically address these types of transaction.</w:t>
      </w:r>
    </w:p>
    <w:p>
      <w:pPr>
        <w:pStyle w:val="Normal"/>
        <w:rPr/>
      </w:pPr>
      <w:r>
        <w:rPr/>
      </w:r>
    </w:p>
    <w:p>
      <w:pPr>
        <w:pStyle w:val="Normal"/>
        <w:jc w:val="start"/>
        <w:rPr>
          <w:b/>
        </w:rPr>
      </w:pPr>
      <w:r>
        <w:rPr>
          <w:b/>
        </w:rPr>
        <w:t>Section 1.2.  Confirmation</w:t>
      </w:r>
    </w:p>
    <w:p>
      <w:pPr>
        <w:pStyle w:val="Normal"/>
        <w:jc w:val="start"/>
        <w:rPr>
          <w:b/>
        </w:rPr>
      </w:pPr>
      <w:r>
        <w:rPr>
          <w:b/>
        </w:rPr>
      </w:r>
    </w:p>
    <w:p>
      <w:pPr>
        <w:pStyle w:val="Normal"/>
        <w:rPr/>
      </w:pPr>
      <w:r>
        <w:rPr/>
        <w:t>The definition of "Confirmation" now makes it clear that documents or other confirming evidence may be exchanged electronically, although the inclusion of this reference does not obviate the need for parties to address electronic messaging issues in their agreement.</w:t>
      </w:r>
    </w:p>
    <w:p>
      <w:pPr>
        <w:pStyle w:val="Normal"/>
        <w:rPr/>
      </w:pPr>
      <w:r>
        <w:rPr/>
      </w:r>
    </w:p>
    <w:p>
      <w:pPr>
        <w:pStyle w:val="Normal"/>
        <w:rPr>
          <w:b/>
        </w:rPr>
      </w:pPr>
      <w:r>
        <w:rPr>
          <w:b/>
        </w:rPr>
        <w:t>Section 1.4.  Business Day</w:t>
      </w:r>
    </w:p>
    <w:p>
      <w:pPr>
        <w:pStyle w:val="Normal"/>
        <w:rPr>
          <w:b/>
        </w:rPr>
      </w:pPr>
      <w:r>
        <w:rPr>
          <w:b/>
        </w:rPr>
      </w:r>
    </w:p>
    <w:p>
      <w:pPr>
        <w:pStyle w:val="Normal"/>
        <w:rPr/>
      </w:pPr>
      <w:r>
        <w:rPr/>
        <w:t>The definition of "Business Day" has been consolidated, incorporating relevant parts of the 1998 Supplement and the Euro Definitions, and split up into three parts, so that provisions likely to need amending in the future are contained in the Annex (Section 1.6) and provisions relating to National Currency Units are contained in the NCU Supplement</w:t>
      </w:r>
      <w:r>
        <w:rPr>
          <w:b/>
        </w:rPr>
        <w:t xml:space="preserve"> </w:t>
      </w:r>
      <w:r>
        <w:rPr/>
        <w:t>(Section 1.2).</w:t>
      </w:r>
    </w:p>
    <w:p>
      <w:pPr>
        <w:pStyle w:val="Normal"/>
        <w:rPr/>
      </w:pPr>
      <w:r>
        <w:rPr/>
      </w:r>
    </w:p>
    <w:p>
      <w:pPr>
        <w:pStyle w:val="Normal"/>
        <w:rPr/>
      </w:pPr>
      <w:r>
        <w:rPr/>
        <w:t xml:space="preserve">The concept of business days is addressed in the ISDA Master Agreement and a number of sets of ISDA definitions.  Since the term is considered fundamental to the process of negotiating and documenting derivatives transactions and in light of the trend towards extended or 24-hour business days, ISDA carried out a major review of the concept.  As you might know, ISDA prepared a Business Day Questionnaire to survey the opinions of industry participants.  ISDA received a number of responses, which generally revealed that market participants are happy with the way business days operate under ISDA documentation. </w:t>
      </w:r>
    </w:p>
    <w:p>
      <w:pPr>
        <w:pStyle w:val="Normal"/>
        <w:rPr/>
      </w:pPr>
      <w:r>
        <w:rPr/>
      </w:r>
    </w:p>
    <w:p>
      <w:pPr>
        <w:pStyle w:val="Normal"/>
        <w:rPr/>
      </w:pPr>
      <w:r>
        <w:rPr/>
        <w:t>On a related point, the Task Force has been considering whether and how to include a provision which addresses so-called "typhoon days" (days on which banks close for all or part of the day due to bad weather).  This issue is still being considered, and your views would be welcome.</w:t>
      </w:r>
    </w:p>
    <w:p>
      <w:pPr>
        <w:pStyle w:val="Normal"/>
        <w:rPr/>
      </w:pPr>
      <w:r>
        <w:rPr/>
      </w:r>
    </w:p>
    <w:p>
      <w:pPr>
        <w:pStyle w:val="Normal"/>
        <w:rPr>
          <w:b/>
        </w:rPr>
      </w:pPr>
      <w:r>
        <w:rPr>
          <w:b/>
        </w:rPr>
        <w:t>Section 1.5.  Financial Centers</w:t>
      </w:r>
    </w:p>
    <w:p>
      <w:pPr>
        <w:pStyle w:val="Normal"/>
        <w:rPr>
          <w:b/>
        </w:rPr>
      </w:pPr>
      <w:r>
        <w:rPr>
          <w:b/>
        </w:rPr>
        <w:t>Section 1.7.  Currencies</w:t>
      </w:r>
    </w:p>
    <w:p>
      <w:pPr>
        <w:pStyle w:val="Normal"/>
        <w:rPr>
          <w:b/>
        </w:rPr>
      </w:pPr>
      <w:r>
        <w:rPr>
          <w:b/>
        </w:rPr>
      </w:r>
    </w:p>
    <w:p>
      <w:pPr>
        <w:pStyle w:val="Normal"/>
        <w:rPr/>
      </w:pPr>
      <w:r>
        <w:rPr/>
        <w:t>These Sections (contained in the Annex) are based on the provisions in the 1998 Supplement, but they have been amended to include the euro and some currencies from the 1998 FX and Currency Option Definitions (Argentine Peso, Brazilian Real, Chilean Peso, Korean Won, Lebanese Pound, Mexican Peso, Philippine Peso, Russian Ruble and Turkish Lira).  It was considered helpful to include definitions of these currencies even in the potential absence of any corresponding floating rate options.</w:t>
      </w:r>
    </w:p>
    <w:p>
      <w:pPr>
        <w:pStyle w:val="Normal"/>
        <w:rPr/>
      </w:pPr>
      <w:r>
        <w:rPr/>
      </w:r>
    </w:p>
    <w:p>
      <w:pPr>
        <w:pStyle w:val="Normal"/>
        <w:rPr/>
      </w:pPr>
      <w:r>
        <w:rPr/>
        <w:t>Note also that the Financial Center for the Australian Dollar has been amended.  The Australian Financial Markets Association informed us that Australian financial institutions and the Australian Government consider that Sydney is now the only principal financial center for the Australian Dollar.</w:t>
      </w:r>
    </w:p>
    <w:p>
      <w:pPr>
        <w:pStyle w:val="Normal"/>
        <w:rPr/>
      </w:pPr>
      <w:r>
        <w:rPr/>
      </w:r>
    </w:p>
    <w:p>
      <w:pPr>
        <w:pStyle w:val="Normal"/>
        <w:rPr/>
      </w:pPr>
      <w:r>
        <w:rPr/>
        <w:t>Finally, note that the "Yen" is now referred to as the "Japanese Yen".</w:t>
      </w:r>
    </w:p>
    <w:p>
      <w:pPr>
        <w:pStyle w:val="Normal"/>
        <w:rPr/>
      </w:pPr>
      <w:r>
        <w:rPr/>
      </w:r>
    </w:p>
    <w:p>
      <w:pPr>
        <w:pStyle w:val="Normal"/>
        <w:rPr>
          <w:b/>
        </w:rPr>
      </w:pPr>
      <w:r>
        <w:rPr>
          <w:b/>
        </w:rPr>
        <w:t>Section 1.8. TARGET Settlement Day</w:t>
      </w:r>
    </w:p>
    <w:p>
      <w:pPr>
        <w:pStyle w:val="Normal"/>
        <w:rPr>
          <w:b/>
        </w:rPr>
      </w:pPr>
      <w:r>
        <w:rPr>
          <w:b/>
        </w:rPr>
      </w:r>
    </w:p>
    <w:p>
      <w:pPr>
        <w:pStyle w:val="Normal"/>
        <w:rPr/>
      </w:pPr>
      <w:r>
        <w:rPr/>
        <w:t>This definition has been incorporated (with slight amendments) from the Euro Definitions.</w:t>
      </w:r>
    </w:p>
    <w:p>
      <w:pPr>
        <w:pStyle w:val="Normal"/>
        <w:rPr/>
      </w:pPr>
      <w:r>
        <w:rPr/>
      </w:r>
    </w:p>
    <w:p>
      <w:pPr>
        <w:pStyle w:val="Normal"/>
        <w:rPr>
          <w:b/>
        </w:rPr>
      </w:pPr>
      <w:r>
        <w:rPr>
          <w:b/>
        </w:rPr>
        <w:t>Section 1.9.  Federal Reserve Bank of New York Business Day</w:t>
      </w:r>
    </w:p>
    <w:p>
      <w:pPr>
        <w:pStyle w:val="Normal"/>
        <w:rPr>
          <w:b/>
        </w:rPr>
      </w:pPr>
      <w:r>
        <w:rPr>
          <w:b/>
        </w:rPr>
      </w:r>
    </w:p>
    <w:p>
      <w:pPr>
        <w:pStyle w:val="Normal"/>
        <w:rPr/>
      </w:pPr>
      <w:r>
        <w:rPr/>
        <w:t>It has been suggested that this new Business Day concept should be introduced.  The attached drafts do include this definition and related provisions, but confirmation by members that this will be a useful addition to the definitions is encouraged.</w:t>
      </w:r>
    </w:p>
    <w:p>
      <w:pPr>
        <w:pStyle w:val="Normal"/>
        <w:rPr/>
      </w:pPr>
      <w:r>
        <w:rPr/>
      </w:r>
    </w:p>
    <w:p>
      <w:pPr>
        <w:pStyle w:val="Normal"/>
        <w:rPr>
          <w:b/>
        </w:rPr>
      </w:pPr>
      <w:r>
        <w:rPr>
          <w:b/>
        </w:rPr>
        <w:t>Section 1.10.  U.S. Securities Business Day</w:t>
      </w:r>
    </w:p>
    <w:p>
      <w:pPr>
        <w:pStyle w:val="Normal"/>
        <w:rPr>
          <w:b/>
        </w:rPr>
      </w:pPr>
      <w:r>
        <w:rPr>
          <w:b/>
        </w:rPr>
      </w:r>
    </w:p>
    <w:p>
      <w:pPr>
        <w:pStyle w:val="Normal"/>
        <w:rPr/>
      </w:pPr>
      <w:r>
        <w:rPr/>
        <w:t>It has been suggested that this new Business Day concept should be introduced.  The attached drafts do include this definition and related provisions, but confirmation by members that this will be a useful addition to the definitions is encouraged.  Note the proposed amendments to the following Rate Options: "USD-CMT-T7051", "USD-CMT-T7052", "USD-CMS-Telerate", "USD-ISDA-Swap Rate" and "USD-CMS-Reference Banks".</w:t>
      </w:r>
    </w:p>
    <w:p>
      <w:pPr>
        <w:pStyle w:val="Normal"/>
        <w:rPr>
          <w:b/>
        </w:rPr>
      </w:pPr>
      <w:r>
        <w:rPr>
          <w:b/>
        </w:rPr>
      </w:r>
    </w:p>
    <w:p>
      <w:pPr>
        <w:pStyle w:val="Normal"/>
        <w:rPr>
          <w:b/>
        </w:rPr>
      </w:pPr>
      <w:r>
        <w:rPr>
          <w:b/>
        </w:rPr>
        <w:t>Section 1.11.  EC Treaty</w:t>
      </w:r>
    </w:p>
    <w:p>
      <w:pPr>
        <w:pStyle w:val="Normal"/>
        <w:rPr>
          <w:b/>
        </w:rPr>
      </w:pPr>
      <w:r>
        <w:rPr>
          <w:b/>
        </w:rPr>
      </w:r>
    </w:p>
    <w:p>
      <w:pPr>
        <w:pStyle w:val="Normal"/>
        <w:rPr/>
      </w:pPr>
      <w:r>
        <w:rPr/>
        <w:t>This definition has been incorporated from the Euro Definitions.</w:t>
      </w:r>
    </w:p>
    <w:p>
      <w:pPr>
        <w:pStyle w:val="Normal"/>
        <w:rPr>
          <w:b/>
        </w:rPr>
      </w:pPr>
      <w:r>
        <w:rPr>
          <w:b/>
        </w:rPr>
      </w:r>
    </w:p>
    <w:p>
      <w:pPr>
        <w:pStyle w:val="Normal"/>
        <w:rPr>
          <w:b/>
        </w:rPr>
      </w:pPr>
      <w:r>
        <w:rPr>
          <w:b/>
        </w:rPr>
        <w:t>Section 3.2.  Effective Date</w:t>
      </w:r>
    </w:p>
    <w:p>
      <w:pPr>
        <w:pStyle w:val="Normal"/>
        <w:rPr>
          <w:b/>
        </w:rPr>
      </w:pPr>
      <w:r>
        <w:rPr>
          <w:b/>
        </w:rPr>
      </w:r>
    </w:p>
    <w:p>
      <w:pPr>
        <w:pStyle w:val="Normal"/>
        <w:rPr/>
      </w:pPr>
      <w:r>
        <w:rPr/>
        <w:t>This definition now expressly provides, for the avoidance of doubt only, that the date specified as the Effective Date will not be subject to adjustment in accordance with any Business Day Convention in the event that it does not fall on a Business Day, unless the parties specify otherwise.</w:t>
      </w:r>
    </w:p>
    <w:p>
      <w:pPr>
        <w:pStyle w:val="Normal"/>
        <w:rPr/>
      </w:pPr>
      <w:r>
        <w:rPr/>
      </w:r>
    </w:p>
    <w:p>
      <w:pPr>
        <w:pStyle w:val="Normal"/>
        <w:jc w:val="start"/>
        <w:rPr>
          <w:b/>
        </w:rPr>
      </w:pPr>
      <w:r>
        <w:rPr>
          <w:b/>
        </w:rPr>
        <w:t>Section 3.5.  Final Exchange Date; Exchange Date; Maturity Date</w:t>
      </w:r>
    </w:p>
    <w:p>
      <w:pPr>
        <w:pStyle w:val="Normal"/>
        <w:jc w:val="start"/>
        <w:rPr/>
      </w:pPr>
      <w:r>
        <w:rPr/>
      </w:r>
    </w:p>
    <w:p>
      <w:pPr>
        <w:pStyle w:val="Normal"/>
        <w:rPr/>
      </w:pPr>
      <w:r>
        <w:rPr/>
        <w:t>The term "Value Date" has been deleted from this Section, because the Task Force advised that the term is never used to refer to a Final Exchange Date, and indeed is generally used to refer to the Effective Date, so creating confusion.</w:t>
      </w:r>
    </w:p>
    <w:p>
      <w:pPr>
        <w:pStyle w:val="Normal"/>
        <w:rPr/>
      </w:pPr>
      <w:r>
        <w:rPr/>
      </w:r>
    </w:p>
    <w:p>
      <w:pPr>
        <w:pStyle w:val="Normal"/>
        <w:rPr>
          <w:b/>
        </w:rPr>
      </w:pPr>
      <w:r>
        <w:rPr>
          <w:b/>
        </w:rPr>
        <w:t>Section 4.13.  Calculation Agent</w:t>
      </w:r>
    </w:p>
    <w:p>
      <w:pPr>
        <w:pStyle w:val="Normal"/>
        <w:rPr>
          <w:b/>
        </w:rPr>
      </w:pPr>
      <w:r>
        <w:rPr>
          <w:b/>
        </w:rPr>
      </w:r>
    </w:p>
    <w:p>
      <w:pPr>
        <w:pStyle w:val="Normal"/>
        <w:rPr/>
      </w:pPr>
      <w:r>
        <w:rPr/>
        <w:t>This definition has been incorporated from the 1998 Supplement (the Section number has changed because the definition of "Notional Quantity" has been deleted). A small amendment has been made to delete the time element from subparagraph (d), because the calculation of a Currency Amount by reference to a Currency Amount in another currency is not always carried out "on or prior to the Effective Date".</w:t>
      </w:r>
    </w:p>
    <w:p>
      <w:pPr>
        <w:pStyle w:val="Normal"/>
        <w:rPr/>
      </w:pPr>
      <w:r>
        <w:rPr/>
      </w:r>
    </w:p>
    <w:p>
      <w:pPr>
        <w:pStyle w:val="Normal"/>
        <w:rPr/>
      </w:pPr>
      <w:r>
        <w:rPr/>
        <w:t>The Task Force and other ISDA committees have also considered whether and how to amend the definition to address issues raised by the practice of both parties together acting as the Calculation Agent.  So far, amendments have not been considered appropriate.</w:t>
      </w:r>
    </w:p>
    <w:p>
      <w:pPr>
        <w:pStyle w:val="Normal"/>
        <w:rPr/>
      </w:pPr>
      <w:r>
        <w:rPr/>
      </w:r>
    </w:p>
    <w:p>
      <w:pPr>
        <w:pStyle w:val="Normal"/>
        <w:rPr>
          <w:b/>
        </w:rPr>
      </w:pPr>
      <w:r>
        <w:rPr>
          <w:b/>
        </w:rPr>
        <w:t>Section 4.15.  Day Count Fraction</w:t>
      </w:r>
    </w:p>
    <w:p>
      <w:pPr>
        <w:pStyle w:val="Normal"/>
        <w:rPr>
          <w:b/>
        </w:rPr>
      </w:pPr>
      <w:r>
        <w:rPr>
          <w:b/>
        </w:rPr>
      </w:r>
    </w:p>
    <w:p>
      <w:pPr>
        <w:pStyle w:val="Normal"/>
        <w:rPr/>
      </w:pPr>
      <w:r>
        <w:rPr/>
        <w:t>The current draft of the Definitions includes the latest drafts of the proposed "Actual/Actual (ISMA)" and "Actual/Actual (AFB)" definitions.  Comments are strongly encouraged.</w:t>
      </w:r>
    </w:p>
    <w:p>
      <w:pPr>
        <w:pStyle w:val="Normal"/>
        <w:rPr/>
      </w:pPr>
      <w:r>
        <w:rPr/>
      </w:r>
    </w:p>
    <w:p>
      <w:pPr>
        <w:pStyle w:val="Normal"/>
        <w:rPr/>
      </w:pPr>
      <w:r>
        <w:rPr/>
        <w:t>This Section also now includes some shorthand terms for the Day Count Fractions (e.g., "Act/365").  We would like to know if there are any other shorthand terms which people would like to see included.  If possible, ISDA would also like to include in the Definitions some formulae for use in calculating relevant amounts.  At least one institution is trying hard to prepare some formulae, but we would be grateful for any other examples.</w:t>
      </w:r>
    </w:p>
    <w:p>
      <w:pPr>
        <w:pStyle w:val="Normal"/>
        <w:rPr/>
      </w:pPr>
      <w:r>
        <w:rPr/>
      </w:r>
    </w:p>
    <w:p>
      <w:pPr>
        <w:pStyle w:val="Normal"/>
        <w:rPr>
          <w:b/>
        </w:rPr>
      </w:pPr>
      <w:r>
        <w:rPr>
          <w:b/>
        </w:rPr>
        <w:t>Section 6.2.  Certain Definitions Relating to Floating Amounts</w:t>
      </w:r>
    </w:p>
    <w:p>
      <w:pPr>
        <w:pStyle w:val="Normal"/>
        <w:rPr>
          <w:b/>
        </w:rPr>
      </w:pPr>
      <w:r>
        <w:rPr>
          <w:b/>
        </w:rPr>
      </w:r>
    </w:p>
    <w:p>
      <w:pPr>
        <w:pStyle w:val="Normal"/>
        <w:rPr/>
      </w:pPr>
      <w:r>
        <w:rPr/>
        <w:t>The definition of "Floating Rate Day Count Fraction" has been split into three parts.  One part is contained in the main body of the Definitions (Section 6.2(f)), another part (in tabular form) is contained in the Annex (Section 6.2(g)) and the final part (also in tabular form) is contained in the NCU Supplement</w:t>
      </w:r>
      <w:r>
        <w:rPr>
          <w:b/>
        </w:rPr>
        <w:t xml:space="preserve"> </w:t>
      </w:r>
      <w:r>
        <w:rPr/>
        <w:t>(Section 2).</w:t>
      </w:r>
    </w:p>
    <w:p>
      <w:pPr>
        <w:pStyle w:val="Normal"/>
        <w:rPr/>
      </w:pPr>
      <w:r>
        <w:rPr/>
      </w:r>
    </w:p>
    <w:p>
      <w:pPr>
        <w:pStyle w:val="Normal"/>
        <w:rPr>
          <w:b/>
        </w:rPr>
      </w:pPr>
      <w:r>
        <w:rPr>
          <w:b/>
        </w:rPr>
        <w:t>Section 6.4.  Negative Interest Rates</w:t>
      </w:r>
    </w:p>
    <w:p>
      <w:pPr>
        <w:pStyle w:val="Normal"/>
        <w:rPr>
          <w:b/>
        </w:rPr>
      </w:pPr>
      <w:r>
        <w:rPr>
          <w:b/>
        </w:rPr>
      </w:r>
    </w:p>
    <w:p>
      <w:pPr>
        <w:pStyle w:val="Normal"/>
        <w:rPr/>
      </w:pPr>
      <w:r>
        <w:rPr/>
        <w:t>This definition has been incorporated from the 1998 Supplement, and amended for stylistic reasons.</w:t>
      </w:r>
    </w:p>
    <w:p>
      <w:pPr>
        <w:pStyle w:val="Normal"/>
        <w:rPr/>
      </w:pPr>
      <w:r>
        <w:rPr/>
      </w:r>
    </w:p>
    <w:p>
      <w:pPr>
        <w:pStyle w:val="Normal"/>
        <w:rPr>
          <w:b/>
        </w:rPr>
      </w:pPr>
      <w:r>
        <w:rPr>
          <w:b/>
        </w:rPr>
        <w:t>Article 7.  Calculation of Rates for Certain Floating Rate Options</w:t>
      </w:r>
    </w:p>
    <w:p>
      <w:pPr>
        <w:pStyle w:val="Normal"/>
        <w:rPr>
          <w:b/>
        </w:rPr>
      </w:pPr>
      <w:r>
        <w:rPr>
          <w:b/>
        </w:rPr>
      </w:r>
    </w:p>
    <w:p>
      <w:pPr>
        <w:pStyle w:val="Normal"/>
        <w:rPr/>
      </w:pPr>
      <w:r>
        <w:rPr/>
        <w:t xml:space="preserve">All of Article 7, which is based on Article 7 of the 1998 Supplement, is contained in the Annex, whether different parts are likely to need amending or not.  This is because very little of Article 7 remains once the parts likely to need amending have been removed, and keeping it all in one place will make it much easier to refer to.  </w:t>
      </w:r>
    </w:p>
    <w:p>
      <w:pPr>
        <w:pStyle w:val="Normal"/>
        <w:rPr/>
      </w:pPr>
      <w:r>
        <w:rPr/>
      </w:r>
    </w:p>
    <w:p>
      <w:pPr>
        <w:pStyle w:val="Normal"/>
        <w:rPr>
          <w:b/>
        </w:rPr>
      </w:pPr>
      <w:r>
        <w:rPr>
          <w:b/>
        </w:rPr>
        <w:t>Section 7.2.  Rate Options</w:t>
      </w:r>
    </w:p>
    <w:p>
      <w:pPr>
        <w:pStyle w:val="Normal"/>
        <w:jc w:val="start"/>
        <w:rPr>
          <w:b/>
        </w:rPr>
      </w:pPr>
      <w:r>
        <w:rPr>
          <w:b/>
        </w:rPr>
      </w:r>
    </w:p>
    <w:p>
      <w:pPr>
        <w:pStyle w:val="Normal"/>
        <w:rPr/>
      </w:pPr>
      <w:r>
        <w:rPr/>
        <w:t>The Rate Options fall into three basic categories, namely those that have been added, those that have been amended, and those that have been deleted.</w:t>
      </w:r>
    </w:p>
    <w:p>
      <w:pPr>
        <w:pStyle w:val="Normal"/>
        <w:rPr/>
      </w:pPr>
      <w:r>
        <w:rPr/>
      </w:r>
    </w:p>
    <w:p>
      <w:pPr>
        <w:pStyle w:val="Normal"/>
        <w:rPr/>
      </w:pPr>
      <w:r>
        <w:rPr/>
        <w:t>Additions and deletions have been made on the basis of indications of market practice.  As for those rates that have been amended, various amendments have been made following a detailed review of the relevant Telerate, Reuters and Bloomberg pages, including certain changes to references to captions and headings that appear on the relevant pages, and on the basis of detailed review by participants in the relevant markets.  You will see that there remain square brackets in several of the definitions.  Although we are working to resolve any outstanding issues, we strongly encourage any comments from ISDA members.</w:t>
      </w:r>
    </w:p>
    <w:p>
      <w:pPr>
        <w:pStyle w:val="Normal"/>
        <w:rPr/>
      </w:pPr>
      <w:r>
        <w:rPr/>
      </w:r>
    </w:p>
    <w:p>
      <w:pPr>
        <w:pStyle w:val="Normal"/>
        <w:rPr/>
      </w:pPr>
      <w:r>
        <w:rPr/>
        <w:t>Set out below is a list of the rates that have been added, amended or deleted, as compared to the rates contained in the 1998 Supplement.</w:t>
      </w:r>
    </w:p>
    <w:p>
      <w:pPr>
        <w:pStyle w:val="Normal"/>
        <w:jc w:val="start"/>
        <w:rPr/>
      </w:pPr>
      <w:r>
        <w:rPr/>
      </w:r>
    </w:p>
    <w:p>
      <w:pPr>
        <w:pStyle w:val="Normal"/>
        <w:ind w:start="720" w:end="0"/>
        <w:jc w:val="start"/>
        <w:rPr>
          <w:b/>
          <w:i/>
          <w:i/>
        </w:rPr>
      </w:pPr>
      <w:r>
        <w:rPr>
          <w:b/>
          <w:i/>
        </w:rPr>
        <w:t>New Rate Options</w:t>
      </w:r>
    </w:p>
    <w:p>
      <w:pPr>
        <w:pStyle w:val="Normal"/>
        <w:ind w:start="720" w:end="0"/>
        <w:jc w:val="start"/>
        <w:rPr>
          <w:b/>
          <w:i/>
          <w:i/>
        </w:rPr>
      </w:pPr>
      <w:r>
        <w:rPr>
          <w:b/>
          <w:i/>
        </w:rPr>
      </w:r>
    </w:p>
    <w:p>
      <w:pPr>
        <w:pStyle w:val="Normal"/>
        <w:ind w:start="720" w:end="0"/>
        <w:rPr/>
      </w:pPr>
      <w:r>
        <w:rPr/>
        <w:t>"AUD-BBR-BBSY (bid)" (and, potentially, "(offer)" and "(mid)")</w:t>
      </w:r>
    </w:p>
    <w:p>
      <w:pPr>
        <w:pStyle w:val="Normal"/>
        <w:ind w:start="720" w:end="0"/>
        <w:rPr/>
      </w:pPr>
      <w:r>
        <w:rPr/>
        <w:t>"EUR-EURIBOR-Act/365"</w:t>
      </w:r>
    </w:p>
    <w:p>
      <w:pPr>
        <w:pStyle w:val="Normal"/>
        <w:ind w:start="720" w:end="0"/>
        <w:rPr/>
      </w:pPr>
      <w:r>
        <w:rPr/>
        <w:t>"EUR-TAM-CDC"</w:t>
      </w:r>
    </w:p>
    <w:p>
      <w:pPr>
        <w:pStyle w:val="Normal"/>
        <w:ind w:start="720" w:end="0"/>
        <w:rPr/>
      </w:pPr>
      <w:r>
        <w:rPr/>
        <w:t>"EUR-TMM-CDC-COMPOUND"</w:t>
      </w:r>
    </w:p>
    <w:p>
      <w:pPr>
        <w:pStyle w:val="Normal"/>
        <w:ind w:start="720" w:end="0"/>
        <w:rPr/>
      </w:pPr>
      <w:r>
        <w:rPr/>
        <w:t>"EUR-TMP-CDC-AVERAGE"</w:t>
      </w:r>
    </w:p>
    <w:p>
      <w:pPr>
        <w:pStyle w:val="Normal"/>
        <w:ind w:start="720" w:end="0"/>
        <w:rPr/>
      </w:pPr>
      <w:r>
        <w:rPr/>
        <w:t>"EUR-TEC10-CNO"</w:t>
      </w:r>
    </w:p>
    <w:p>
      <w:pPr>
        <w:pStyle w:val="Normal"/>
        <w:ind w:start="720" w:end="0"/>
        <w:rPr/>
      </w:pPr>
      <w:r>
        <w:rPr/>
        <w:t>"EUR-TEC10-Reference Banks"</w:t>
      </w:r>
    </w:p>
    <w:p>
      <w:pPr>
        <w:pStyle w:val="Normal"/>
        <w:ind w:start="720" w:end="0"/>
        <w:rPr/>
      </w:pPr>
      <w:r>
        <w:rPr/>
        <w:t>"EUR-TEC5-CNO"</w:t>
      </w:r>
    </w:p>
    <w:p>
      <w:pPr>
        <w:pStyle w:val="Normal"/>
        <w:ind w:start="720" w:end="0"/>
        <w:rPr/>
      </w:pPr>
      <w:r>
        <w:rPr/>
        <w:t>"EUR-TEC5-Reference Banks"</w:t>
      </w:r>
    </w:p>
    <w:p>
      <w:pPr>
        <w:pStyle w:val="Normal"/>
        <w:ind w:start="720" w:end="0"/>
        <w:rPr/>
      </w:pPr>
      <w:r>
        <w:rPr/>
        <w:t>"EUR-Annual Swap Rate"</w:t>
      </w:r>
    </w:p>
    <w:p>
      <w:pPr>
        <w:pStyle w:val="Normal"/>
        <w:ind w:start="720" w:end="0"/>
        <w:rPr/>
      </w:pPr>
      <w:r>
        <w:rPr/>
        <w:t>"EUR-ISDA-EURIBOR Swap Rate"</w:t>
      </w:r>
    </w:p>
    <w:p>
      <w:pPr>
        <w:pStyle w:val="Normal"/>
        <w:ind w:start="720" w:end="0"/>
        <w:rPr/>
      </w:pPr>
      <w:r>
        <w:rPr/>
        <w:t>"EUR-ISDA-LIBOR Swap Rate"</w:t>
      </w:r>
    </w:p>
    <w:p>
      <w:pPr>
        <w:pStyle w:val="Normal"/>
        <w:ind w:start="720" w:end="0"/>
        <w:rPr/>
      </w:pPr>
      <w:r>
        <w:rPr/>
        <w:t>"EUR-Annual Swap Rate-Reference Banks"</w:t>
      </w:r>
    </w:p>
    <w:p>
      <w:pPr>
        <w:pStyle w:val="Normal"/>
        <w:ind w:start="720" w:end="0"/>
        <w:rPr/>
      </w:pPr>
      <w:r>
        <w:rPr/>
        <w:t>"HUF-BUBOR-Reuters"</w:t>
      </w:r>
    </w:p>
    <w:p>
      <w:pPr>
        <w:pStyle w:val="Normal"/>
        <w:ind w:start="720" w:end="0"/>
        <w:rPr/>
      </w:pPr>
      <w:r>
        <w:rPr/>
        <w:t>"HUF-BUBOR-Reference Banks"</w:t>
      </w:r>
    </w:p>
    <w:p>
      <w:pPr>
        <w:pStyle w:val="Normal"/>
        <w:ind w:start="720" w:end="0"/>
        <w:rPr/>
      </w:pPr>
      <w:r>
        <w:rPr/>
        <w:t>"SGD-SOR-Reference Banks"</w:t>
      </w:r>
    </w:p>
    <w:p>
      <w:pPr>
        <w:pStyle w:val="Normal"/>
        <w:ind w:start="720" w:end="0"/>
        <w:rPr/>
      </w:pPr>
      <w:r>
        <w:rPr/>
        <w:t>"ZAR-JIBAR-SAFEX"</w:t>
      </w:r>
    </w:p>
    <w:p>
      <w:pPr>
        <w:pStyle w:val="Normal"/>
        <w:ind w:start="720" w:end="0"/>
        <w:rPr/>
      </w:pPr>
      <w:r>
        <w:rPr/>
        <w:t>"ZAR-JIBAR-Reference Banks"</w:t>
      </w:r>
    </w:p>
    <w:p>
      <w:pPr>
        <w:pStyle w:val="Normal"/>
        <w:ind w:start="720" w:end="0"/>
        <w:rPr/>
      </w:pPr>
      <w:r>
        <w:rPr/>
        <w:t>"ZAR-PRIME-AVERAGE"</w:t>
      </w:r>
    </w:p>
    <w:p>
      <w:pPr>
        <w:pStyle w:val="Normal"/>
        <w:ind w:start="720" w:end="0"/>
        <w:rPr/>
      </w:pPr>
      <w:r>
        <w:rPr/>
        <w:t>"ZAR-PRIME-AVERAGE-Reference Banks"</w:t>
      </w:r>
    </w:p>
    <w:p>
      <w:pPr>
        <w:pStyle w:val="Normal"/>
        <w:ind w:start="720" w:end="0"/>
        <w:rPr/>
      </w:pPr>
      <w:r>
        <w:rPr/>
        <w:t>"ZAR-DEPOSIT-SAFEX"</w:t>
      </w:r>
    </w:p>
    <w:p>
      <w:pPr>
        <w:pStyle w:val="Normal"/>
        <w:ind w:start="720" w:end="0"/>
        <w:rPr/>
      </w:pPr>
      <w:r>
        <w:rPr/>
        <w:t>"ZAR-DEPOSIT-Reference Banks"</w:t>
      </w:r>
    </w:p>
    <w:p>
      <w:pPr>
        <w:pStyle w:val="Normal"/>
        <w:ind w:start="720" w:end="0"/>
        <w:rPr/>
      </w:pPr>
      <w:r>
        <w:rPr/>
      </w:r>
    </w:p>
    <w:p>
      <w:pPr>
        <w:pStyle w:val="Normal"/>
        <w:ind w:start="720" w:end="0"/>
        <w:rPr>
          <w:b/>
          <w:i/>
          <w:i/>
        </w:rPr>
      </w:pPr>
      <w:r>
        <w:rPr>
          <w:b/>
          <w:i/>
        </w:rPr>
        <w:t>Amended Rate Options</w:t>
      </w:r>
    </w:p>
    <w:p>
      <w:pPr>
        <w:pStyle w:val="Normal"/>
        <w:ind w:start="720" w:end="0"/>
        <w:rPr>
          <w:b/>
          <w:i/>
          <w:i/>
        </w:rPr>
      </w:pPr>
      <w:r>
        <w:rPr>
          <w:b/>
          <w:i/>
        </w:rPr>
      </w:r>
    </w:p>
    <w:p>
      <w:pPr>
        <w:pStyle w:val="Normal"/>
        <w:ind w:start="720" w:end="0"/>
        <w:rPr/>
      </w:pPr>
      <w:r>
        <w:rPr/>
        <w:t>"CZK-PRIBOR-PRBO"</w:t>
      </w:r>
    </w:p>
    <w:p>
      <w:pPr>
        <w:pStyle w:val="Normal"/>
        <w:ind w:start="720" w:end="0"/>
        <w:rPr/>
      </w:pPr>
      <w:r>
        <w:rPr/>
        <w:t>"DKK-CIBOR-DKNA13" (amending "DKK-CIBOR-DKNH")</w:t>
      </w:r>
    </w:p>
    <w:p>
      <w:pPr>
        <w:pStyle w:val="Normal"/>
        <w:ind w:start="720" w:end="0"/>
        <w:rPr/>
      </w:pPr>
      <w:r>
        <w:rPr/>
        <w:t>"DKK-CIBOR2-DKNA13" (amending "DKK-CIBOR2-DKNH")</w:t>
      </w:r>
    </w:p>
    <w:p>
      <w:pPr>
        <w:pStyle w:val="Normal"/>
        <w:ind w:start="720" w:end="0"/>
        <w:rPr/>
      </w:pPr>
      <w:r>
        <w:rPr/>
        <w:t>"DKK-CITA-DKNA14-COMPOUND" (amending "DKK-CITA-DKMS-COMPOUND")</w:t>
      </w:r>
    </w:p>
    <w:p>
      <w:pPr>
        <w:pStyle w:val="Normal"/>
        <w:ind w:start="720" w:end="0"/>
        <w:rPr/>
      </w:pPr>
      <w:r>
        <w:rPr/>
        <w:t>"EUR-EONIA-OIS-COMPOUND"</w:t>
      </w:r>
    </w:p>
    <w:p>
      <w:pPr>
        <w:pStyle w:val="Normal"/>
        <w:ind w:start="720" w:end="0"/>
        <w:rPr/>
      </w:pPr>
      <w:r>
        <w:rPr/>
        <w:t>"EUR-EURIBOR-Reference Banks"</w:t>
      </w:r>
    </w:p>
    <w:p>
      <w:pPr>
        <w:pStyle w:val="Normal"/>
        <w:ind w:firstLine="720" w:end="0"/>
        <w:rPr/>
      </w:pPr>
      <w:r>
        <w:rPr/>
        <w:t>"GRD-ATHIBOR-ATHIBOR"</w:t>
      </w:r>
    </w:p>
    <w:p>
      <w:pPr>
        <w:pStyle w:val="Normal"/>
        <w:ind w:firstLine="720" w:end="0"/>
        <w:rPr/>
      </w:pPr>
      <w:r>
        <w:rPr/>
        <w:t>"GRD-ATHIMID"</w:t>
      </w:r>
    </w:p>
    <w:p>
      <w:pPr>
        <w:pStyle w:val="Normal"/>
        <w:ind w:firstLine="720" w:end="0"/>
        <w:rPr/>
      </w:pPr>
      <w:r>
        <w:rPr/>
        <w:t>"IDR-SOR-Reference Banks"</w:t>
      </w:r>
    </w:p>
    <w:p>
      <w:pPr>
        <w:pStyle w:val="Normal"/>
        <w:ind w:firstLine="720" w:end="0"/>
        <w:rPr/>
      </w:pPr>
      <w:r>
        <w:rPr/>
        <w:t>"JPY-TSR-Reference Banks"</w:t>
      </w:r>
    </w:p>
    <w:p>
      <w:pPr>
        <w:pStyle w:val="Normal"/>
        <w:ind w:start="720" w:end="0"/>
        <w:rPr/>
      </w:pPr>
      <w:r>
        <w:rPr/>
        <w:t>"SGD-SIBOR-Telerate"</w:t>
      </w:r>
    </w:p>
    <w:p>
      <w:pPr>
        <w:pStyle w:val="Normal"/>
        <w:ind w:start="720" w:end="0"/>
        <w:rPr/>
      </w:pPr>
      <w:r>
        <w:rPr/>
        <w:t>"SGD-SIBOR-Reference Banks"</w:t>
      </w:r>
    </w:p>
    <w:p>
      <w:pPr>
        <w:pStyle w:val="Normal"/>
        <w:ind w:start="720" w:end="0"/>
        <w:rPr/>
      </w:pPr>
      <w:r>
        <w:rPr/>
        <w:t>"SGD-SOR-Telerate"</w:t>
      </w:r>
    </w:p>
    <w:p>
      <w:pPr>
        <w:pStyle w:val="Normal"/>
        <w:ind w:start="720" w:end="0"/>
        <w:rPr/>
      </w:pPr>
      <w:r>
        <w:rPr/>
        <w:t>"GBP-WMBA-SONIA"</w:t>
      </w:r>
    </w:p>
    <w:p>
      <w:pPr>
        <w:pStyle w:val="Normal"/>
        <w:ind w:start="720" w:end="0"/>
        <w:rPr/>
      </w:pPr>
      <w:r>
        <w:rPr/>
        <w:t>"THB-SOR-Reference Banks"</w:t>
      </w:r>
    </w:p>
    <w:p>
      <w:pPr>
        <w:pStyle w:val="Normal"/>
        <w:ind w:start="720" w:end="0"/>
        <w:rPr/>
      </w:pPr>
      <w:r>
        <w:rPr/>
        <w:t>"USD-TBILL-H.15"</w:t>
      </w:r>
    </w:p>
    <w:p>
      <w:pPr>
        <w:pStyle w:val="Normal"/>
        <w:ind w:start="720" w:end="0"/>
        <w:rPr/>
      </w:pPr>
      <w:r>
        <w:rPr/>
        <w:t>"USD-CMT-T7051"</w:t>
      </w:r>
    </w:p>
    <w:p>
      <w:pPr>
        <w:pStyle w:val="Normal"/>
        <w:ind w:start="720" w:end="0"/>
        <w:rPr/>
      </w:pPr>
      <w:r>
        <w:rPr/>
        <w:t>"USD-CMT-T7052"</w:t>
      </w:r>
    </w:p>
    <w:p>
      <w:pPr>
        <w:pStyle w:val="Normal"/>
        <w:ind w:start="720" w:end="0"/>
        <w:rPr/>
      </w:pPr>
      <w:r>
        <w:rPr/>
        <w:t>"USD-CMS-Telerate"</w:t>
      </w:r>
    </w:p>
    <w:p>
      <w:pPr>
        <w:pStyle w:val="Normal"/>
        <w:ind w:start="720" w:end="0"/>
        <w:rPr/>
      </w:pPr>
      <w:r>
        <w:rPr/>
        <w:t>"USD-ISDA-Swap Rate"</w:t>
      </w:r>
    </w:p>
    <w:p>
      <w:pPr>
        <w:pStyle w:val="Normal"/>
        <w:ind w:start="720" w:end="0"/>
        <w:rPr/>
      </w:pPr>
      <w:r>
        <w:rPr/>
        <w:t>"USD-CMS-Reference Banks"</w:t>
      </w:r>
    </w:p>
    <w:p>
      <w:pPr>
        <w:pStyle w:val="Normal"/>
        <w:ind w:start="720" w:end="0"/>
        <w:rPr>
          <w:b/>
          <w:i/>
          <w:i/>
        </w:rPr>
      </w:pPr>
      <w:r>
        <w:rPr>
          <w:b/>
          <w:i/>
        </w:rPr>
      </w:r>
    </w:p>
    <w:p>
      <w:pPr>
        <w:pStyle w:val="Normal"/>
        <w:ind w:start="720" w:end="0"/>
        <w:rPr>
          <w:b/>
          <w:i/>
          <w:i/>
        </w:rPr>
      </w:pPr>
      <w:r>
        <w:rPr>
          <w:b/>
          <w:i/>
        </w:rPr>
        <w:t>Deleted Rate Options</w:t>
      </w:r>
    </w:p>
    <w:p>
      <w:pPr>
        <w:pStyle w:val="Normal"/>
        <w:ind w:start="720" w:end="0"/>
        <w:rPr>
          <w:b/>
          <w:i/>
          <w:i/>
        </w:rPr>
      </w:pPr>
      <w:r>
        <w:rPr>
          <w:b/>
          <w:i/>
        </w:rPr>
      </w:r>
    </w:p>
    <w:p>
      <w:pPr>
        <w:pStyle w:val="Normal"/>
        <w:ind w:start="720" w:end="0"/>
        <w:rPr/>
      </w:pPr>
      <w:r>
        <w:rPr/>
        <w:t>"MYR-SOR-Telerate"</w:t>
      </w:r>
    </w:p>
    <w:p>
      <w:pPr>
        <w:pStyle w:val="Normal"/>
        <w:ind w:start="720" w:end="0"/>
        <w:rPr/>
      </w:pPr>
      <w:r>
        <w:rPr/>
        <w:t>"MYR-SOR-Reference Banks"</w:t>
      </w:r>
    </w:p>
    <w:p>
      <w:pPr>
        <w:pStyle w:val="Normal"/>
        <w:ind w:start="720" w:end="0"/>
        <w:rPr/>
      </w:pPr>
      <w:r>
        <w:rPr/>
        <w:t>"ZAR-BBF3-SAFEX (Discount)"</w:t>
      </w:r>
    </w:p>
    <w:p>
      <w:pPr>
        <w:pStyle w:val="Normal"/>
        <w:ind w:start="720" w:end="0"/>
        <w:rPr/>
      </w:pPr>
      <w:r>
        <w:rPr/>
        <w:t>"ZAR-BBF3-SAFEX (Yield)"</w:t>
      </w:r>
    </w:p>
    <w:p>
      <w:pPr>
        <w:pStyle w:val="Normal"/>
        <w:ind w:start="720" w:end="0"/>
        <w:rPr/>
      </w:pPr>
      <w:r>
        <w:rPr/>
        <w:t>"ZAR-BBF-Reference Banks"</w:t>
      </w:r>
    </w:p>
    <w:p>
      <w:pPr>
        <w:pStyle w:val="Normal"/>
        <w:ind w:start="720" w:end="0"/>
        <w:rPr/>
      </w:pPr>
      <w:r>
        <w:rPr/>
      </w:r>
    </w:p>
    <w:p>
      <w:pPr>
        <w:pStyle w:val="Normal"/>
        <w:rPr/>
      </w:pPr>
      <w:r>
        <w:rPr/>
        <w:t>ISDA has received requests to include various new Floating Rate Options.  All such requests are welcome, and ISDA will be happy to include a new Rate Option if satisfied that it is widely used in the market and accurately defined.  Set forth below are those so far proposed:</w:t>
      </w:r>
    </w:p>
    <w:p>
      <w:pPr>
        <w:pStyle w:val="Normal"/>
        <w:ind w:hanging="720" w:start="1440" w:end="0"/>
        <w:rPr/>
      </w:pPr>
      <w:r>
        <w:rPr/>
      </w:r>
    </w:p>
    <w:p>
      <w:pPr>
        <w:pStyle w:val="Normal"/>
        <w:ind w:hanging="720" w:start="1440" w:end="0"/>
        <w:rPr/>
      </w:pPr>
      <w:r>
        <w:rPr/>
        <w:t>(a)</w:t>
        <w:tab/>
        <w:t>"CAD-REPO-CORRA", based on the CAD Overnight Repo rate published for the Reset Date by Bank of Canada on the main page of its Internet website under the title "Financial Statistics - Money Market Yields";</w:t>
      </w:r>
    </w:p>
    <w:p>
      <w:pPr>
        <w:pStyle w:val="Normal"/>
        <w:ind w:hanging="720" w:start="1440" w:end="0"/>
        <w:rPr/>
      </w:pPr>
      <w:r>
        <w:rPr/>
      </w:r>
    </w:p>
    <w:p>
      <w:pPr>
        <w:pStyle w:val="Normal"/>
        <w:ind w:hanging="720" w:start="1440" w:end="0"/>
        <w:rPr/>
      </w:pPr>
      <w:r>
        <w:rPr/>
        <w:t>(b)</w:t>
        <w:tab/>
        <w:t xml:space="preserve">"CHF-TOM-NEXT", based on the Money Market TOM NEXT OFFERED RATE for Swiss Franc deposits appearing on the Telerate Page 3451 at 11:00 a.m., Zurich time, on the Reset Date; </w:t>
      </w:r>
    </w:p>
    <w:p>
      <w:pPr>
        <w:pStyle w:val="Normal"/>
        <w:ind w:hanging="720" w:start="1440" w:end="0"/>
        <w:rPr/>
      </w:pPr>
      <w:r>
        <w:rPr/>
      </w:r>
    </w:p>
    <w:p>
      <w:pPr>
        <w:pStyle w:val="Normal"/>
        <w:ind w:hanging="720" w:start="1440" w:end="0"/>
        <w:rPr/>
      </w:pPr>
      <w:r>
        <w:rPr/>
        <w:t>(c)</w:t>
        <w:tab/>
        <w:t>"KRW-Reuters-KBOND02", based on the rate for deposits in Korean Won for a period of the Designated Maturity which appears on the Reuters Screen KBOND02 Page as of 5:00 p.m., Seoul time, on the day that is one Seoul Banking Day preceding the Reset Date; and</w:t>
      </w:r>
    </w:p>
    <w:p>
      <w:pPr>
        <w:pStyle w:val="Normal"/>
        <w:ind w:start="720" w:end="0"/>
        <w:rPr/>
      </w:pPr>
      <w:r>
        <w:rPr/>
      </w:r>
    </w:p>
    <w:p>
      <w:pPr>
        <w:pStyle w:val="Normal"/>
        <w:ind w:hanging="720" w:start="1440" w:end="0"/>
        <w:rPr/>
      </w:pPr>
      <w:r>
        <w:rPr/>
        <w:t>(d)</w:t>
        <w:tab/>
        <w:t>"TWD-6165", based on the rate for deposits in Taiwanese Dollars for a period of the Designated Maturity which appears on the Telerate Page 6165 as of 11:00 a.m., Taipei time, on the Reset Date (falling back to the Reuters Screen TWCPBA Page, and then to the rate appearing on the next following Business Day).</w:t>
      </w:r>
    </w:p>
    <w:p>
      <w:pPr>
        <w:pStyle w:val="Normal"/>
        <w:ind w:start="720" w:end="0"/>
        <w:rPr/>
      </w:pPr>
      <w:r>
        <w:rPr/>
      </w:r>
    </w:p>
    <w:p>
      <w:pPr>
        <w:pStyle w:val="Normal"/>
        <w:rPr/>
      </w:pPr>
      <w:r>
        <w:rPr/>
        <w:t>We should be grateful if ISDA members can confirm that any or all of these rates are commonly used in the market and are appropriate for inclusion in the Definitions.</w:t>
      </w:r>
    </w:p>
    <w:p>
      <w:pPr>
        <w:pStyle w:val="Normal"/>
        <w:ind w:start="720" w:end="0"/>
        <w:rPr/>
      </w:pPr>
      <w:r>
        <w:rPr/>
      </w:r>
    </w:p>
    <w:p>
      <w:pPr>
        <w:pStyle w:val="Normal"/>
        <w:rPr>
          <w:b/>
        </w:rPr>
      </w:pPr>
      <w:r>
        <w:rPr>
          <w:b/>
        </w:rPr>
        <w:t>Section 7.2.  Certain Published and Displayed Sources</w:t>
      </w:r>
    </w:p>
    <w:p>
      <w:pPr>
        <w:pStyle w:val="Normal"/>
        <w:rPr>
          <w:b/>
        </w:rPr>
      </w:pPr>
      <w:r>
        <w:rPr>
          <w:b/>
        </w:rPr>
      </w:r>
    </w:p>
    <w:p>
      <w:pPr>
        <w:pStyle w:val="Normal"/>
        <w:rPr/>
      </w:pPr>
      <w:r>
        <w:rPr/>
        <w:t>The definitions of "Reuters Screen" and "Telerate" have been updated (Section 7.2(c) and (d)).  Also, a definition of "SAFEX" has been added for the purpose of the South African Rand Rate Options (Section 7.2(g)).</w:t>
      </w:r>
    </w:p>
    <w:p>
      <w:pPr>
        <w:pStyle w:val="Normal"/>
        <w:ind w:start="720" w:end="0"/>
        <w:rPr/>
      </w:pPr>
      <w:r>
        <w:rPr/>
      </w:r>
      <w:r>
        <w:br w:type="page"/>
      </w:r>
    </w:p>
    <w:p>
      <w:pPr>
        <w:pStyle w:val="Normal"/>
        <w:rPr>
          <w:b/>
        </w:rPr>
      </w:pPr>
      <w:r>
        <w:rPr>
          <w:b/>
        </w:rPr>
        <w:t>Section 7.3.  Price Source Conversion</w:t>
      </w:r>
    </w:p>
    <w:p>
      <w:pPr>
        <w:pStyle w:val="Normal"/>
        <w:rPr>
          <w:b/>
        </w:rPr>
      </w:pPr>
      <w:r>
        <w:rPr>
          <w:b/>
        </w:rPr>
        <w:t>Section 7.4.  Certain Definitions Relating to Price Source Conversion</w:t>
      </w:r>
    </w:p>
    <w:p>
      <w:pPr>
        <w:pStyle w:val="Normal"/>
        <w:rPr>
          <w:b/>
        </w:rPr>
      </w:pPr>
      <w:r>
        <w:rPr>
          <w:b/>
        </w:rPr>
      </w:r>
    </w:p>
    <w:p>
      <w:pPr>
        <w:pStyle w:val="Normal"/>
        <w:rPr/>
      </w:pPr>
      <w:r>
        <w:rPr/>
        <w:t>These definitions (published in the Annex) incorporate provisions from the Euro Definitions.</w:t>
      </w:r>
    </w:p>
    <w:p>
      <w:pPr>
        <w:pStyle w:val="Normal"/>
        <w:rPr/>
      </w:pPr>
      <w:r>
        <w:rPr/>
      </w:r>
    </w:p>
    <w:p>
      <w:pPr>
        <w:pStyle w:val="Normal"/>
        <w:rPr>
          <w:b/>
        </w:rPr>
      </w:pPr>
      <w:r>
        <w:rPr>
          <w:b/>
        </w:rPr>
        <w:t>Section 7.5.  Certain General Definitions Relating to Floating Rate Options</w:t>
      </w:r>
    </w:p>
    <w:p>
      <w:pPr>
        <w:pStyle w:val="Normal"/>
        <w:rPr>
          <w:b/>
        </w:rPr>
      </w:pPr>
      <w:r>
        <w:rPr>
          <w:b/>
        </w:rPr>
      </w:r>
    </w:p>
    <w:p>
      <w:pPr>
        <w:pStyle w:val="Normal"/>
        <w:rPr/>
      </w:pPr>
      <w:r>
        <w:rPr/>
        <w:t>The definition of "Reference Banks" (Section 7.6(c)) now contains a definition in respect of any "EURIBOR" rate option (incorporated from the Euro Definitions), any "EUR-Annual Swap Rate" Rate Option, and a new definition in respect of the "HUF-BUBOR" Rate Option.  Appropriate amendments have also been made in respect of the South African Rand Rate Options.</w:t>
      </w:r>
    </w:p>
    <w:p>
      <w:pPr>
        <w:pStyle w:val="Normal"/>
        <w:rPr/>
      </w:pPr>
      <w:r>
        <w:rPr/>
      </w:r>
    </w:p>
    <w:p>
      <w:pPr>
        <w:pStyle w:val="Normal"/>
        <w:rPr/>
      </w:pPr>
      <w:r>
        <w:rPr/>
        <w:t>Definitions of "Euro-zone" (incorporated from the Euro Definitions) and "BUBOR Regulation" have also been added (Section 7.5(d) and (e)).</w:t>
      </w:r>
    </w:p>
    <w:p>
      <w:pPr>
        <w:pStyle w:val="Normal"/>
        <w:rPr/>
      </w:pPr>
      <w:r>
        <w:rPr/>
      </w:r>
    </w:p>
    <w:p>
      <w:pPr>
        <w:pStyle w:val="Normal"/>
        <w:jc w:val="start"/>
        <w:rPr>
          <w:b/>
        </w:rPr>
      </w:pPr>
      <w:r>
        <w:rPr>
          <w:b/>
        </w:rPr>
        <w:t>Section 7.6.  Corrections to Published and Displayed Rates</w:t>
      </w:r>
    </w:p>
    <w:p>
      <w:pPr>
        <w:pStyle w:val="Normal"/>
        <w:jc w:val="start"/>
        <w:rPr>
          <w:b/>
        </w:rPr>
      </w:pPr>
      <w:r>
        <w:rPr>
          <w:b/>
        </w:rPr>
      </w:r>
    </w:p>
    <w:p>
      <w:pPr>
        <w:pStyle w:val="Normal"/>
        <w:rPr/>
      </w:pPr>
      <w:r>
        <w:rPr/>
        <w:t>Another issue which has been considered, but not yet resolved, is whether the existing one-hour cut-off time for corrections to published and displayed rates should be extended, because material corrections outside of the one-hour period are not unusual.  Countering the argument for extending the period is the need for certainty.  One suggestion was to set a cut-off time that would apply except where the correction is of a certain magnitude, in which case the cut-off time could be extended to several hours, perhaps even up to 24 hours.  Any views on this would be welcome.</w:t>
      </w:r>
    </w:p>
    <w:p>
      <w:pPr>
        <w:pStyle w:val="Normal"/>
        <w:rPr>
          <w:b/>
        </w:rPr>
      </w:pPr>
      <w:r>
        <w:rPr>
          <w:b/>
        </w:rPr>
      </w:r>
    </w:p>
    <w:p>
      <w:pPr>
        <w:pStyle w:val="Normal"/>
        <w:rPr>
          <w:b/>
        </w:rPr>
      </w:pPr>
      <w:r>
        <w:rPr>
          <w:b/>
        </w:rPr>
        <w:t>Section 8.1.  Rounding</w:t>
      </w:r>
    </w:p>
    <w:p>
      <w:pPr>
        <w:pStyle w:val="Normal"/>
        <w:rPr>
          <w:b/>
        </w:rPr>
      </w:pPr>
      <w:r>
        <w:rPr>
          <w:b/>
        </w:rPr>
      </w:r>
    </w:p>
    <w:p>
      <w:pPr>
        <w:pStyle w:val="Normal"/>
        <w:rPr/>
      </w:pPr>
      <w:r>
        <w:rPr/>
        <w:t>Following consideration by the Task Force, this provision has been amended to (a) reflect the apparent market practice of rounding rates obtained by interpolation of two published rates to the same degree of accuracy as those rates were originally published, (b) provide that percentages determined through the use of interpolation will not be rounded to a lower degree of accuracy than the nearest one thousandth of a percentage point and (c) remove currency-specific elements (now contained in Section 8.2 in the Annex and Section 4 of the NCU Supplement).</w:t>
      </w:r>
    </w:p>
    <w:p>
      <w:pPr>
        <w:pStyle w:val="Normal"/>
        <w:rPr>
          <w:b/>
        </w:rPr>
      </w:pPr>
      <w:r>
        <w:rPr>
          <w:b/>
        </w:rPr>
      </w:r>
    </w:p>
    <w:p>
      <w:pPr>
        <w:pStyle w:val="Normal"/>
        <w:rPr>
          <w:b/>
        </w:rPr>
      </w:pPr>
      <w:r>
        <w:rPr>
          <w:b/>
        </w:rPr>
        <w:t>Articles 10-17</w:t>
      </w:r>
    </w:p>
    <w:p>
      <w:pPr>
        <w:pStyle w:val="Normal"/>
        <w:rPr>
          <w:b/>
        </w:rPr>
      </w:pPr>
      <w:r>
        <w:rPr>
          <w:b/>
        </w:rPr>
      </w:r>
    </w:p>
    <w:p>
      <w:pPr>
        <w:pStyle w:val="Normal"/>
        <w:rPr/>
      </w:pPr>
      <w:r>
        <w:rPr/>
        <w:t>These Articles (Options, Swaptions, Cash Settlement) have been incorporated from the 1998 Supplement, subject to the amendments discussed below.</w:t>
      </w:r>
    </w:p>
    <w:p>
      <w:pPr>
        <w:pStyle w:val="Normal"/>
        <w:rPr/>
      </w:pPr>
      <w:r>
        <w:rPr/>
      </w:r>
    </w:p>
    <w:p>
      <w:pPr>
        <w:pStyle w:val="Normal"/>
        <w:rPr/>
      </w:pPr>
      <w:r>
        <w:rPr/>
        <w:t>These provisions have been the subject of a detailed review by a small working group (the "Cash Settlement Group"), and the draft Definitions include a number of proposed changes.</w:t>
      </w:r>
    </w:p>
    <w:p>
      <w:pPr>
        <w:pStyle w:val="Normal"/>
        <w:rPr/>
      </w:pPr>
      <w:r>
        <w:rPr/>
      </w:r>
    </w:p>
    <w:p>
      <w:pPr>
        <w:pStyle w:val="Normal"/>
        <w:rPr/>
      </w:pPr>
      <w:r>
        <w:rPr/>
        <w:t>Please note that some of the comments considered by the Cash Settlement Group raised issues which have arisen for people using these provisions in the context of cross-currency transactions and basis swaps.  These provisions were not drafted with such transactions in mind, and the group did not feel that sufficient attention could be focused on these issues at this time.  It was also felt that any problems in this regard were not especially pressing.  All these issues have been noted, however, and appropriate amendments or additions to these provisions will be considered in the future.</w:t>
      </w:r>
    </w:p>
    <w:p>
      <w:pPr>
        <w:pStyle w:val="Normal"/>
        <w:rPr/>
      </w:pPr>
      <w:r>
        <w:rPr/>
      </w:r>
    </w:p>
    <w:p>
      <w:pPr>
        <w:pStyle w:val="Normal"/>
        <w:rPr/>
      </w:pPr>
      <w:r>
        <w:rPr/>
        <w:t>Another issue that has received some attention but not yet been resolved is whether the automatic exercise provision should be deemed to apply (subject to contrary agreement) in respect of options that are deeply in-the-money.</w:t>
      </w:r>
    </w:p>
    <w:p>
      <w:pPr>
        <w:pStyle w:val="Normal"/>
        <w:rPr/>
      </w:pPr>
      <w:r>
        <w:rPr/>
      </w:r>
      <w:r>
        <w:br w:type="page"/>
      </w:r>
    </w:p>
    <w:p>
      <w:pPr>
        <w:pStyle w:val="Normal"/>
        <w:rPr>
          <w:b/>
        </w:rPr>
      </w:pPr>
      <w:r>
        <w:rPr>
          <w:b/>
        </w:rPr>
        <w:t>Section 11.1.  Parties</w:t>
      </w:r>
    </w:p>
    <w:p>
      <w:pPr>
        <w:pStyle w:val="Normal"/>
        <w:rPr>
          <w:b/>
        </w:rPr>
      </w:pPr>
      <w:r>
        <w:rPr>
          <w:b/>
        </w:rPr>
      </w:r>
    </w:p>
    <w:p>
      <w:pPr>
        <w:pStyle w:val="Normal"/>
        <w:rPr/>
      </w:pPr>
      <w:r>
        <w:rPr/>
        <w:t>A definition of "Seller's Agent" (previously contained within the definition of "Exercise Period") has been included as a new Section 11.1(c).</w:t>
      </w:r>
    </w:p>
    <w:p>
      <w:pPr>
        <w:pStyle w:val="Normal"/>
        <w:rPr/>
      </w:pPr>
      <w:r>
        <w:rPr/>
      </w:r>
    </w:p>
    <w:p>
      <w:pPr>
        <w:pStyle w:val="Normal"/>
        <w:rPr>
          <w:b/>
        </w:rPr>
      </w:pPr>
      <w:r>
        <w:rPr>
          <w:b/>
        </w:rPr>
        <w:t>Section 11.4.  Exercise Business Day</w:t>
      </w:r>
    </w:p>
    <w:p>
      <w:pPr>
        <w:pStyle w:val="Normal"/>
        <w:rPr>
          <w:b/>
        </w:rPr>
      </w:pPr>
      <w:r>
        <w:rPr>
          <w:b/>
        </w:rPr>
      </w:r>
    </w:p>
    <w:p>
      <w:pPr>
        <w:pStyle w:val="Normal"/>
        <w:rPr/>
      </w:pPr>
      <w:r>
        <w:rPr/>
        <w:t>This definition replaces the definition of "Seller Business Day".  A review of the confirmation templates of a number of institutions revealed that most institutions prefer to link business days for this purpose to (at least) the currency of the relevant transaction, and not to the location of the Seller.</w:t>
      </w:r>
    </w:p>
    <w:p>
      <w:pPr>
        <w:pStyle w:val="Normal"/>
        <w:rPr/>
      </w:pPr>
      <w:r>
        <w:rPr/>
      </w:r>
    </w:p>
    <w:p>
      <w:pPr>
        <w:pStyle w:val="Normal"/>
        <w:rPr>
          <w:b/>
        </w:rPr>
      </w:pPr>
      <w:r>
        <w:rPr>
          <w:b/>
        </w:rPr>
        <w:t>Section 12.1.  General Terms Relating to Exercise</w:t>
      </w:r>
    </w:p>
    <w:p>
      <w:pPr>
        <w:pStyle w:val="Normal"/>
        <w:rPr>
          <w:b/>
        </w:rPr>
      </w:pPr>
      <w:r>
        <w:rPr>
          <w:b/>
        </w:rPr>
      </w:r>
    </w:p>
    <w:p>
      <w:pPr>
        <w:pStyle w:val="Normal"/>
        <w:rPr/>
      </w:pPr>
      <w:r>
        <w:rPr/>
        <w:t>The definition of "Exercise Period" (Section 12.1(a)) has been amended because the existing definition was not felt to reflect market practice.  The Cash Settlement Group was of the view that the "start time" of the Exercise Period should not be linked to the location of Seller, and should instead be something for the parties to specify in a Confirmation.  A definition of "Earliest Exercise Time" has been included (Section 12.1(d)) with this in mind.</w:t>
      </w:r>
    </w:p>
    <w:p>
      <w:pPr>
        <w:pStyle w:val="Normal"/>
        <w:rPr/>
      </w:pPr>
      <w:r>
        <w:rPr/>
      </w:r>
    </w:p>
    <w:p>
      <w:pPr>
        <w:pStyle w:val="Normal"/>
        <w:rPr>
          <w:b/>
        </w:rPr>
      </w:pPr>
      <w:r>
        <w:rPr>
          <w:b/>
        </w:rPr>
        <w:t>Section 12.3.  Partial Exercise</w:t>
      </w:r>
    </w:p>
    <w:p>
      <w:pPr>
        <w:pStyle w:val="Normal"/>
        <w:rPr>
          <w:b/>
        </w:rPr>
      </w:pPr>
      <w:r>
        <w:rPr>
          <w:b/>
        </w:rPr>
        <w:t>Section 12.4.  Multiple Exercise</w:t>
      </w:r>
    </w:p>
    <w:p>
      <w:pPr>
        <w:pStyle w:val="Normal"/>
        <w:rPr>
          <w:b/>
        </w:rPr>
      </w:pPr>
      <w:r>
        <w:rPr>
          <w:b/>
        </w:rPr>
      </w:r>
    </w:p>
    <w:p>
      <w:pPr>
        <w:pStyle w:val="Normal"/>
        <w:rPr/>
      </w:pPr>
      <w:r>
        <w:rPr/>
        <w:t>Both of these provisions have been amended to delete the presumption that Partial Exercise or Multiple Exercise (as appropriate) will apply to a transaction.</w:t>
      </w:r>
    </w:p>
    <w:p>
      <w:pPr>
        <w:pStyle w:val="Normal"/>
        <w:rPr/>
      </w:pPr>
      <w:r>
        <w:rPr/>
      </w:r>
    </w:p>
    <w:p>
      <w:pPr>
        <w:pStyle w:val="Normal"/>
        <w:rPr>
          <w:b/>
        </w:rPr>
      </w:pPr>
      <w:r>
        <w:rPr>
          <w:b/>
        </w:rPr>
        <w:t>Section 12.7.  Automatic Exercise</w:t>
      </w:r>
    </w:p>
    <w:p>
      <w:pPr>
        <w:pStyle w:val="Normal"/>
        <w:rPr>
          <w:b/>
        </w:rPr>
      </w:pPr>
      <w:r>
        <w:rPr>
          <w:b/>
        </w:rPr>
      </w:r>
    </w:p>
    <w:p>
      <w:pPr>
        <w:pStyle w:val="Normal"/>
        <w:rPr/>
      </w:pPr>
      <w:r>
        <w:rPr/>
        <w:t>We have deleted the words "as determined by the Calculation Agent" from this provision.</w:t>
      </w:r>
    </w:p>
    <w:p>
      <w:pPr>
        <w:pStyle w:val="Normal"/>
        <w:rPr/>
      </w:pPr>
      <w:r>
        <w:rPr/>
      </w:r>
    </w:p>
    <w:p>
      <w:pPr>
        <w:pStyle w:val="Normal"/>
        <w:rPr>
          <w:b/>
        </w:rPr>
      </w:pPr>
      <w:r>
        <w:rPr>
          <w:b/>
        </w:rPr>
        <w:t>Section 12.8.  Threshold</w:t>
      </w:r>
    </w:p>
    <w:p>
      <w:pPr>
        <w:pStyle w:val="Normal"/>
        <w:rPr>
          <w:b/>
        </w:rPr>
      </w:pPr>
      <w:r>
        <w:rPr>
          <w:b/>
        </w:rPr>
      </w:r>
    </w:p>
    <w:p>
      <w:pPr>
        <w:pStyle w:val="Normal"/>
        <w:rPr/>
      </w:pPr>
      <w:r>
        <w:rPr/>
        <w:t>We have amended this provision to include, in respect of Swaptions to which Physical Settlement is applicable, a presumption that, in determining the Cash Settlement Amount that would be payable if Cash Settlement were applicable, "bid" will be used as the Quotation Rate.</w:t>
      </w:r>
    </w:p>
    <w:p>
      <w:pPr>
        <w:pStyle w:val="Normal"/>
        <w:rPr/>
      </w:pPr>
      <w:r>
        <w:rPr/>
      </w:r>
    </w:p>
    <w:p>
      <w:pPr>
        <w:pStyle w:val="Normal"/>
        <w:rPr>
          <w:b/>
        </w:rPr>
      </w:pPr>
      <w:r>
        <w:rPr>
          <w:b/>
        </w:rPr>
        <w:t>Section 15.2.  Optional Early Termination Date</w:t>
      </w:r>
    </w:p>
    <w:p>
      <w:pPr>
        <w:pStyle w:val="Normal"/>
        <w:rPr>
          <w:b/>
        </w:rPr>
      </w:pPr>
      <w:r>
        <w:rPr>
          <w:b/>
        </w:rPr>
      </w:r>
    </w:p>
    <w:p>
      <w:pPr>
        <w:pStyle w:val="Normal"/>
        <w:rPr/>
      </w:pPr>
      <w:r>
        <w:rPr/>
        <w:t>Some of the confirmation templates we reviewed included a definition of "Optional Early Termination Date" for swaps to which Optional Early Termination is specified to be applicable and to which Cash Settlement is specified to be inapplicable.  The definition was used as a benchmark when specifying the Expiration Date (e.g., the Expiration Date might be five Seller Business Days preceding the Optional Early Termination Date), and appeared to be included because there is no Cash Settlement Payment Date (Cash Settlement being inapplicable).  As currently drafted in the Definitions, the meaning of Optional Early Termination Date is broader than this, and is a term that is relevant to any Swap Transaction to which Optional Early Termination is specified to be applicable.</w:t>
      </w:r>
    </w:p>
    <w:p>
      <w:pPr>
        <w:pStyle w:val="Normal"/>
        <w:rPr/>
      </w:pPr>
      <w:r>
        <w:rPr/>
      </w:r>
    </w:p>
    <w:p>
      <w:pPr>
        <w:pStyle w:val="Normal"/>
        <w:rPr>
          <w:b/>
        </w:rPr>
      </w:pPr>
      <w:r>
        <w:rPr>
          <w:b/>
        </w:rPr>
        <w:t>Section 17.2.  Certain Definitions Relating to Cash Settlement</w:t>
      </w:r>
    </w:p>
    <w:p>
      <w:pPr>
        <w:pStyle w:val="Normal"/>
        <w:rPr>
          <w:b/>
        </w:rPr>
      </w:pPr>
      <w:r>
        <w:rPr>
          <w:b/>
        </w:rPr>
      </w:r>
    </w:p>
    <w:p>
      <w:pPr>
        <w:pStyle w:val="Normal"/>
        <w:rPr>
          <w:b/>
        </w:rPr>
      </w:pPr>
      <w:r>
        <w:rPr/>
        <w:t>The definition of "Cash Settlement Valuation Date" has been amended to remove the currency-specific elements (now contained (in tabular form) in Section 17.2(d) in the Annex and (also in tabular form) Section 5 of the NCU Supplement).</w:t>
      </w:r>
    </w:p>
    <w:p>
      <w:pPr>
        <w:pStyle w:val="Normal"/>
        <w:rPr>
          <w:b/>
        </w:rPr>
      </w:pPr>
      <w:r>
        <w:rPr>
          <w:b/>
        </w:rPr>
      </w:r>
    </w:p>
    <w:p>
      <w:pPr>
        <w:pStyle w:val="Normal"/>
        <w:rPr/>
      </w:pPr>
      <w:r>
        <w:rPr/>
        <w:t>The fallback in the definition of "Settlement Rate" to obtaining quotations from the Cash Settlement Reference Banks has been amended to make it clear that, unless otherwise specified, any quotations obtained should not take into account the creditworthiness of either party (Section 17.2(f)(iii)).</w:t>
      </w:r>
    </w:p>
    <w:p>
      <w:pPr>
        <w:pStyle w:val="Normal"/>
        <w:rPr/>
      </w:pPr>
      <w:r>
        <w:rPr/>
      </w:r>
    </w:p>
    <w:p>
      <w:pPr>
        <w:pStyle w:val="Normal"/>
        <w:rPr/>
      </w:pPr>
      <w:r>
        <w:rPr/>
        <w:t>The definition of "Quotation Rate" (Section 17.2(j)) has been amended to provide that if, in respect of a Swap Transaction to which Optional Early Termination is specified to be applicable, on the Cash Settlement Valuation Date, the Exercising Party is in default (or potentially in default), then the Quotation Rate will be deemed to be "Exercising Party Pays".</w:t>
      </w:r>
    </w:p>
    <w:p>
      <w:pPr>
        <w:pStyle w:val="Normal"/>
        <w:rPr/>
      </w:pPr>
      <w:r>
        <w:rPr/>
      </w:r>
    </w:p>
    <w:p>
      <w:pPr>
        <w:pStyle w:val="Normal"/>
        <w:rPr/>
      </w:pPr>
      <w:r>
        <w:rPr/>
        <w:t>The definition of "Valuation Business Day" (Section 17.2(m)) has been amended to reflect the view of the Cash Settlement Group that business days for this purpose should be linked to the currency of the relevant transaction, as well as to the place (or places) referred to in the specified Floating Rate Option.  The view of the group was that if the Floating Rate Option referred to a TARGET Settlement Day (or a U.S. Government Securities Business Day), that day should be relevant (in addition to the currency of the transaction and any other place that might be referred to in the Floating Rate Option).</w:t>
      </w:r>
    </w:p>
    <w:p>
      <w:pPr>
        <w:pStyle w:val="Normal"/>
        <w:rPr/>
      </w:pPr>
      <w:r>
        <w:rPr/>
      </w:r>
    </w:p>
    <w:p>
      <w:pPr>
        <w:pStyle w:val="Normal"/>
        <w:rPr>
          <w:b/>
        </w:rPr>
      </w:pPr>
      <w:r>
        <w:rPr>
          <w:b/>
        </w:rPr>
        <w:t>Section 17.3.  Cash Settlement Methods</w:t>
      </w:r>
    </w:p>
    <w:p>
      <w:pPr>
        <w:pStyle w:val="Normal"/>
        <w:rPr>
          <w:b/>
        </w:rPr>
      </w:pPr>
      <w:r>
        <w:rPr>
          <w:b/>
        </w:rPr>
      </w:r>
    </w:p>
    <w:p>
      <w:pPr>
        <w:pStyle w:val="Normal"/>
        <w:rPr/>
      </w:pPr>
      <w:r>
        <w:rPr/>
        <w:t>The various Cash Settlement Methods (see Section 17.3) that rely on parties discounting rates have been amended slightly to make it clear that, unless specified otherwise, if a Cash Settlement Payment Date falls on a day which is not both a Fixed Rate Payer Payment Date and a Floating Rate Payer Payment Date, the Cash Settlement Amount should include an amount in respect of accrued and unpaid interest.  We are aware that this simple statement, in itself, is not sufficient to describe the procedure and we would welcome comments on whether it is a helpful addition.</w:t>
      </w:r>
    </w:p>
    <w:p>
      <w:pPr>
        <w:pStyle w:val="Normal"/>
        <w:rPr/>
      </w:pPr>
      <w:r>
        <w:rPr/>
      </w:r>
    </w:p>
    <w:p>
      <w:pPr>
        <w:pStyle w:val="Normal"/>
        <w:rPr/>
      </w:pPr>
      <w:r>
        <w:rPr/>
        <w:t>The "Cash Price" Cash Settlement Method (Section 17.3(a)) has also been amended to make it clear that, unless otherwise specified, any quotations obtained in order to determine a Cash Settlement Amount should not take into account the creditworthiness of either party.  Again, we understand this to be market practice.  A similar amendment has not been made in respect of the other Cash Settlement Methods because they are already thought to reflect a credit-neutral approach.  Again, comments are welcomed.</w:t>
      </w:r>
    </w:p>
    <w:p>
      <w:pPr>
        <w:pStyle w:val="Normal"/>
        <w:rPr/>
      </w:pPr>
      <w:r>
        <w:rPr/>
      </w:r>
    </w:p>
    <w:p>
      <w:pPr>
        <w:pStyle w:val="Normal"/>
        <w:rPr/>
      </w:pPr>
      <w:r>
        <w:rPr/>
        <w:t>The "Cash Price - Alternate Method" Cash Settlement Method has been broken out from the definition of the "Cash Price" method (Section 17.3(b)).</w:t>
      </w:r>
    </w:p>
    <w:p>
      <w:pPr>
        <w:pStyle w:val="Normal"/>
        <w:rPr/>
      </w:pPr>
      <w:r>
        <w:rPr/>
      </w:r>
    </w:p>
    <w:p>
      <w:pPr>
        <w:pStyle w:val="Normal"/>
        <w:rPr>
          <w:b/>
        </w:rPr>
      </w:pPr>
      <w:r>
        <w:rPr>
          <w:b/>
        </w:rPr>
        <w:t>Section 17.4.  In-the-money</w:t>
      </w:r>
    </w:p>
    <w:p>
      <w:pPr>
        <w:pStyle w:val="Normal"/>
        <w:rPr>
          <w:b/>
        </w:rPr>
      </w:pPr>
      <w:r>
        <w:rPr>
          <w:b/>
        </w:rPr>
        <w:t>Section 17.5.  Out-of-the-money</w:t>
      </w:r>
    </w:p>
    <w:p>
      <w:pPr>
        <w:pStyle w:val="Normal"/>
        <w:rPr>
          <w:b/>
        </w:rPr>
      </w:pPr>
      <w:r>
        <w:rPr>
          <w:b/>
        </w:rPr>
      </w:r>
    </w:p>
    <w:p>
      <w:pPr>
        <w:pStyle w:val="Normal"/>
        <w:rPr/>
      </w:pPr>
      <w:r>
        <w:rPr/>
        <w:t>These provisions have been amended to include a fallback, if a method is not specified, to "ISDA Source" for the purpose of determining the Settlement Rate.</w:t>
      </w:r>
    </w:p>
    <w:p>
      <w:pPr>
        <w:pStyle w:val="Normal"/>
        <w:rPr/>
      </w:pPr>
      <w:r>
        <w:rPr/>
      </w:r>
    </w:p>
    <w:p>
      <w:pPr>
        <w:pStyle w:val="Normal"/>
        <w:rPr>
          <w:b/>
        </w:rPr>
      </w:pPr>
      <w:r>
        <w:rPr>
          <w:b/>
        </w:rPr>
        <w:t>Section 17.6.  Corrections to Published and Displayed Rates</w:t>
      </w:r>
    </w:p>
    <w:p>
      <w:pPr>
        <w:pStyle w:val="Normal"/>
        <w:rPr>
          <w:b/>
        </w:rPr>
      </w:pPr>
      <w:r>
        <w:rPr>
          <w:b/>
        </w:rPr>
      </w:r>
    </w:p>
    <w:p>
      <w:pPr>
        <w:pStyle w:val="Normal"/>
        <w:rPr/>
      </w:pPr>
      <w:r>
        <w:rPr/>
        <w:t>This provision has been amended with a view to achieving some consistency with the approach of Section 7.6.</w:t>
      </w:r>
    </w:p>
    <w:p>
      <w:pPr>
        <w:pStyle w:val="Normal"/>
        <w:rPr>
          <w:b/>
        </w:rPr>
      </w:pPr>
      <w:r>
        <w:rPr>
          <w:b/>
        </w:rPr>
      </w:r>
    </w:p>
    <w:p>
      <w:pPr>
        <w:pStyle w:val="Normal"/>
        <w:rPr>
          <w:b/>
        </w:rPr>
      </w:pPr>
      <w:r>
        <w:rPr>
          <w:b/>
        </w:rPr>
        <w:t>NCU SUPPLEMENT</w:t>
      </w:r>
    </w:p>
    <w:p>
      <w:pPr>
        <w:pStyle w:val="Normal"/>
        <w:rPr>
          <w:b/>
        </w:rPr>
      </w:pPr>
      <w:r>
        <w:rPr>
          <w:b/>
        </w:rPr>
      </w:r>
    </w:p>
    <w:p>
      <w:pPr>
        <w:pStyle w:val="Normal"/>
        <w:rPr/>
      </w:pPr>
      <w:r>
        <w:rPr/>
        <w:t>A definition of "National Currency Unit" begins the NCU Supplement (Section 1.1).</w:t>
      </w:r>
    </w:p>
    <w:p>
      <w:pPr>
        <w:pStyle w:val="Normal"/>
        <w:rPr/>
      </w:pPr>
      <w:r>
        <w:rPr/>
      </w:r>
    </w:p>
    <w:p>
      <w:pPr>
        <w:pStyle w:val="Normal"/>
        <w:rPr/>
      </w:pPr>
      <w:r>
        <w:rPr/>
        <w:t>Section 1.2 contains the Business Day provisions for the National Currency Units.</w:t>
      </w:r>
    </w:p>
    <w:p>
      <w:pPr>
        <w:pStyle w:val="Normal"/>
        <w:rPr/>
      </w:pPr>
      <w:r>
        <w:rPr/>
      </w:r>
    </w:p>
    <w:p>
      <w:pPr>
        <w:pStyle w:val="Normal"/>
        <w:rPr>
          <w:b/>
        </w:rPr>
      </w:pPr>
      <w:r>
        <w:rPr/>
        <w:t>A list of National Currency Units, which may change from time to time, their definitions, abbreviations and their conversion rates are contained in Sections 1.3 and 1.5.  These definitions are based on the currency definitions in the 1998 Supplement, but note that the definition of "Luxembourg Franc" no longer refers to the "Commercial Luxembourg Franc" and the "Financial Luxembourg Franc".  A definition of "ECU" is contained in Section 1.4.</w:t>
      </w:r>
    </w:p>
    <w:p>
      <w:pPr>
        <w:pStyle w:val="Normal"/>
        <w:rPr>
          <w:b/>
        </w:rPr>
      </w:pPr>
      <w:r>
        <w:rPr>
          <w:b/>
        </w:rPr>
      </w:r>
    </w:p>
    <w:p>
      <w:pPr>
        <w:pStyle w:val="Normal"/>
        <w:rPr/>
      </w:pPr>
      <w:r>
        <w:rPr/>
        <w:t>Subject to the amended rates listed below, the Rate Options for the National Currency Units have all been incorporated from the 1998 Supplement:</w:t>
      </w:r>
    </w:p>
    <w:p>
      <w:pPr>
        <w:pStyle w:val="Normal"/>
        <w:ind w:start="720" w:end="0"/>
        <w:rPr>
          <w:b/>
        </w:rPr>
      </w:pPr>
      <w:r>
        <w:rPr>
          <w:b/>
        </w:rPr>
      </w:r>
    </w:p>
    <w:p>
      <w:pPr>
        <w:pStyle w:val="Normal"/>
        <w:ind w:start="720" w:end="0"/>
        <w:rPr>
          <w:b/>
          <w:i/>
          <w:i/>
        </w:rPr>
      </w:pPr>
      <w:r>
        <w:rPr>
          <w:b/>
          <w:i/>
        </w:rPr>
        <w:t>Amended Rate Options</w:t>
      </w:r>
    </w:p>
    <w:p>
      <w:pPr>
        <w:pStyle w:val="Normal"/>
        <w:ind w:hanging="720" w:start="2160" w:end="0"/>
        <w:rPr>
          <w:b/>
          <w:i/>
          <w:i/>
        </w:rPr>
      </w:pPr>
      <w:r>
        <w:rPr>
          <w:b/>
          <w:i/>
        </w:rPr>
      </w:r>
    </w:p>
    <w:p>
      <w:pPr>
        <w:pStyle w:val="Normal"/>
        <w:ind w:hanging="720" w:start="1440" w:end="0"/>
        <w:rPr/>
      </w:pPr>
      <w:r>
        <w:rPr/>
        <w:t xml:space="preserve">"DEM-FIONA-OIS-COMPOUND" </w:t>
      </w:r>
    </w:p>
    <w:p>
      <w:pPr>
        <w:pStyle w:val="Normal"/>
        <w:ind w:start="720" w:end="0"/>
        <w:rPr/>
      </w:pPr>
      <w:r>
        <w:rPr/>
        <w:t>"FRF-Annual Swap Rate"</w:t>
      </w:r>
    </w:p>
    <w:p>
      <w:pPr>
        <w:pStyle w:val="Normal"/>
        <w:ind w:start="720" w:end="0"/>
        <w:rPr/>
      </w:pPr>
      <w:r>
        <w:rPr/>
        <w:t>"LUF-LUXIBOR-Reference Banks".</w:t>
      </w:r>
    </w:p>
    <w:p>
      <w:pPr>
        <w:pStyle w:val="Normal"/>
        <w:ind w:start="720" w:end="0"/>
        <w:rPr>
          <w:b/>
          <w:i/>
          <w:i/>
        </w:rPr>
      </w:pPr>
      <w:r>
        <w:rPr>
          <w:b/>
          <w:i/>
        </w:rPr>
      </w:r>
    </w:p>
    <w:p>
      <w:pPr>
        <w:pStyle w:val="Normal"/>
        <w:ind w:start="720" w:end="0"/>
        <w:rPr>
          <w:b/>
          <w:i/>
          <w:i/>
        </w:rPr>
      </w:pPr>
      <w:r>
        <w:rPr>
          <w:b/>
          <w:i/>
        </w:rPr>
        <w:t>Deleted Rate Options</w:t>
      </w:r>
    </w:p>
    <w:p>
      <w:pPr>
        <w:pStyle w:val="Normal"/>
        <w:ind w:start="720" w:end="0"/>
        <w:rPr>
          <w:b/>
          <w:i/>
          <w:i/>
        </w:rPr>
      </w:pPr>
      <w:r>
        <w:rPr>
          <w:b/>
          <w:i/>
        </w:rPr>
      </w:r>
    </w:p>
    <w:p>
      <w:pPr>
        <w:pStyle w:val="Normal"/>
        <w:ind w:start="720" w:end="0"/>
        <w:rPr/>
      </w:pPr>
      <w:r>
        <w:rPr/>
        <w:t>"COMLUF-LUXIBOR-Reference Banks".</w:t>
      </w:r>
    </w:p>
    <w:p>
      <w:pPr>
        <w:pStyle w:val="Normal"/>
        <w:rPr>
          <w:b/>
        </w:rPr>
      </w:pPr>
      <w:r>
        <w:rPr>
          <w:b/>
        </w:rPr>
      </w:r>
    </w:p>
    <w:p>
      <w:pPr>
        <w:pStyle w:val="Normal"/>
        <w:rPr/>
      </w:pPr>
      <w:r>
        <w:rPr/>
        <w:t>The rest of the NCU Supplement consists of certain miscellaneous provisions relevant only to National Currency Units, which have been extracted from the main body of the Definitions.</w:t>
      </w:r>
    </w:p>
    <w:p>
      <w:pPr>
        <w:pStyle w:val="Normal"/>
        <w:rPr>
          <w:b/>
        </w:rPr>
      </w:pPr>
      <w:r>
        <w:rPr>
          <w:b/>
        </w:rPr>
      </w:r>
    </w:p>
    <w:p>
      <w:pPr>
        <w:pStyle w:val="Normal"/>
        <w:rPr>
          <w:b/>
        </w:rPr>
      </w:pPr>
      <w:r>
        <w:rPr>
          <w:b/>
        </w:rPr>
      </w:r>
    </w:p>
    <w:p>
      <w:pPr>
        <w:pStyle w:val="Normal"/>
        <w:rPr/>
      </w:pPr>
      <w:r>
        <w:rPr/>
        <w:t xml:space="preserve">ISDA will be holding a meeting to discuss the draft Definitions, Annex and NCU Supplement on </w:t>
      </w:r>
      <w:r>
        <w:rPr>
          <w:b/>
        </w:rPr>
        <w:t>29th February at 9.30 a.m. in London</w:t>
      </w:r>
      <w:r>
        <w:rPr/>
        <w:t xml:space="preserve">. </w:t>
      </w:r>
      <w:r>
        <w:rPr>
          <w:b/>
        </w:rPr>
        <w:t xml:space="preserve"> </w:t>
      </w:r>
      <w:r>
        <w:rPr/>
        <w:t xml:space="preserve">The meeting will be held at the offices of Warburg Dillon Read at 1 Finsbury Avenue.  Similarly, a meeting has been scheduled to take place on </w:t>
      </w:r>
      <w:r>
        <w:rPr>
          <w:b/>
        </w:rPr>
        <w:t>3rd March at 2.30 p.m. in New York</w:t>
      </w:r>
      <w:r>
        <w:rPr/>
        <w:t xml:space="preserve"> at the offices of Cravath, Swaine &amp; Moore.  Exact details of the meetings, as well as the registration form for either meeting can be obtained from ISDA's offices directly.</w:t>
      </w:r>
    </w:p>
    <w:p>
      <w:pPr>
        <w:pStyle w:val="Normal"/>
        <w:rPr/>
      </w:pPr>
      <w:r>
        <w:rPr/>
      </w:r>
    </w:p>
    <w:sectPr>
      <w:headerReference w:type="default" r:id="rId5"/>
      <w:headerReference w:type="first" r:id="rId6"/>
      <w:type w:val="nextPage"/>
      <w:pgSz w:w="11906" w:h="16838"/>
      <w:pgMar w:left="1440" w:right="1440" w:gutter="0" w:header="720" w:top="180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pprplGoth BT">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080" w:leader="none"/>
        <w:tab w:val="right" w:pos="8910" w:leader="none"/>
      </w:tabs>
      <w:rPr>
        <w:rStyle w:val="PageNumber"/>
      </w:rPr>
    </w:pPr>
    <w:r>
      <w:rPr/>
      <w:t>Subject:</w:t>
      <w:tab/>
      <w:t>2000 ISDA Definitions</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Normal"/>
      <w:tabs>
        <w:tab w:val="clear" w:pos="720"/>
        <w:tab w:val="left" w:pos="1080" w:leader="none"/>
        <w:tab w:val="right" w:pos="8910" w:leader="none"/>
      </w:tabs>
      <w:rPr/>
    </w:pPr>
    <w:r>
      <w:rPr>
        <w:rStyle w:val="PageNumber"/>
      </w:rPr>
      <w:t>From:</w:t>
      <w:tab/>
      <w:t>John Berry, Richard Tredgett</w:t>
      <w:tab/>
    </w:r>
  </w:p>
  <w:p>
    <w:pPr>
      <w:pStyle w:val="Normal"/>
      <w:tabs>
        <w:tab w:val="clear" w:pos="720"/>
        <w:tab w:val="left" w:pos="1080" w:leader="none"/>
        <w:tab w:val="right" w:pos="8910" w:leader="none"/>
      </w:tabs>
      <w:rPr>
        <w:rStyle w:val="PageNumber"/>
      </w:rPr>
    </w:pPr>
    <w:r>
      <w:rPr/>
    </w:r>
  </w:p>
  <w:p>
    <w:pPr>
      <w:pStyle w:val="Normal"/>
      <w:tabs>
        <w:tab w:val="clear" w:pos="720"/>
        <w:tab w:val="left" w:pos="1080" w:leader="none"/>
        <w:tab w:val="right" w:pos="891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ancel" w:val="0"/>
    <w:docVar w:name="DocRef" w:val="ICM:40526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CopprplGoth BT;Arial" w:hAnsi="CopprplGoth BT;Arial" w:cs="CopprplGoth BT;Arial"/>
      <w:color w:val="000000"/>
      <w:sz w:val="4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hn.berry@allenovery.com" TargetMode="External"/><Relationship Id="rId3" Type="http://schemas.openxmlformats.org/officeDocument/2006/relationships/hyperlink" Target="mailto:richard.tredgett@allenovery.com" TargetMode="External"/><Relationship Id="rId4" Type="http://schemas.openxmlformats.org/officeDocument/2006/relationships/hyperlink" Target="mailto:apapesch@isda-eur.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Note</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2000-02-10T17:40:00Z</dcterms:created>
  <dc:creator>Allen &amp; Overy</dc:creator>
  <dc:description/>
  <dc:language>en-CA</dc:language>
  <cp:lastModifiedBy>Corrinne Greasley</cp:lastModifiedBy>
  <cp:lastPrinted>2000-02-10T17:33:00Z</cp:lastPrinted>
  <dcterms:modified xsi:type="dcterms:W3CDTF">2000-02-10T17:40:00Z</dcterms:modified>
  <cp:revision>2</cp:revision>
  <dc:subject/>
  <dc:title>ALLEN &amp; OVERY</dc:title>
</cp:coreProperties>
</file>