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sz w:val="22"/>
        </w:rPr>
      </w:pPr>
      <w:r>
        <w:rPr>
          <w:b/>
          <w:sz w:val="22"/>
        </w:rPr>
      </w:r>
    </w:p>
    <w:p>
      <w:pPr>
        <w:pStyle w:val="BodyText"/>
        <w:jc w:val="center"/>
        <w:rPr>
          <w:b/>
          <w:sz w:val="22"/>
        </w:rPr>
      </w:pPr>
      <w:r>
        <w:rPr>
          <w:b/>
          <w:sz w:val="22"/>
        </w:rPr>
        <w:t xml:space="preserve">American Association of Blacks in Energy Approves Conditional Support for Drilling in Arctic National Wildlife Refuge </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sz w:val="22"/>
        </w:rPr>
      </w:pPr>
      <w:r>
        <w:rPr>
          <w:rFonts w:cs="Courier New" w:ascii="Courier New" w:hAnsi="Courier New"/>
          <w:sz w:val="22"/>
        </w:rPr>
      </w:r>
    </w:p>
    <w:p>
      <w:pPr>
        <w:pStyle w:val="Normal"/>
        <w:spacing w:lineRule="auto" w:line="360"/>
        <w:rPr>
          <w:rFonts w:ascii="Courier New" w:hAnsi="Courier New" w:cs="Courier New"/>
          <w:sz w:val="22"/>
        </w:rPr>
      </w:pPr>
      <w:r>
        <w:rPr>
          <w:rFonts w:cs="Courier New" w:ascii="Courier New" w:hAnsi="Courier New"/>
          <w:sz w:val="22"/>
        </w:rPr>
        <w:tab/>
        <w:t>Washington, D.C. Dec. 18, 2001 – At its quarterly meeting, the Board of Directors of the American Association of Blacks in Energy offered its conditional support of gas and oil exploration in the Arctic National Wildlife Refuge.</w:t>
      </w:r>
    </w:p>
    <w:p>
      <w:pPr>
        <w:pStyle w:val="Normal"/>
        <w:spacing w:lineRule="auto" w:line="360"/>
        <w:rPr>
          <w:rFonts w:ascii="Courier New" w:hAnsi="Courier New" w:cs="Courier New"/>
          <w:sz w:val="22"/>
        </w:rPr>
      </w:pPr>
      <w:r>
        <w:rPr>
          <w:rFonts w:cs="Courier New" w:ascii="Courier New" w:hAnsi="Courier New"/>
          <w:sz w:val="22"/>
        </w:rPr>
      </w:r>
    </w:p>
    <w:p>
      <w:pPr>
        <w:pStyle w:val="BodyText"/>
        <w:spacing w:lineRule="auto" w:line="360"/>
        <w:rPr>
          <w:sz w:val="22"/>
        </w:rPr>
      </w:pPr>
      <w:r>
        <w:rPr>
          <w:sz w:val="22"/>
        </w:rPr>
        <w:tab/>
        <w:t xml:space="preserve">“We believe that with today’s technology, environmentally friendly exploration in ANWR can be done cost-effectively. However, it is essential that exploration continues in other areas of the country and that opportunities for increased energy efficiency are not ignored,” said Rufus Gladney, Chairman of the association.  “AABE has supported oil and gas exploration in ANWR since the early nineties. Through emerging technologies, the energy industry continues to make strides to meet our nation’s needs. The gas and oil reserves located in Alaska are an integral part of the country’s energy health”. </w:t>
      </w:r>
    </w:p>
    <w:p>
      <w:pPr>
        <w:pStyle w:val="Normal"/>
        <w:spacing w:lineRule="auto" w:line="360"/>
        <w:rPr>
          <w:rFonts w:ascii="Courier New" w:hAnsi="Courier New" w:cs="Courier New"/>
          <w:sz w:val="22"/>
        </w:rPr>
      </w:pPr>
      <w:r>
        <w:rPr>
          <w:rFonts w:cs="Courier New" w:ascii="Courier New" w:hAnsi="Courier New"/>
          <w:sz w:val="22"/>
        </w:rPr>
      </w:r>
    </w:p>
    <w:p>
      <w:pPr>
        <w:pStyle w:val="Normal"/>
        <w:spacing w:lineRule="auto" w:line="360"/>
        <w:rPr>
          <w:rFonts w:ascii="Courier New" w:hAnsi="Courier New" w:cs="Courier New"/>
          <w:sz w:val="22"/>
        </w:rPr>
      </w:pPr>
      <w:r>
        <w:rPr>
          <w:rFonts w:cs="Courier New" w:ascii="Courier New" w:hAnsi="Courier New"/>
          <w:sz w:val="22"/>
        </w:rPr>
        <w:tab/>
        <w:t>AABE continues to support oil and gas exploration in Alaska so long as the following conditions are met:</w:t>
      </w:r>
    </w:p>
    <w:p>
      <w:pPr>
        <w:pStyle w:val="Normal"/>
        <w:numPr>
          <w:ilvl w:val="0"/>
          <w:numId w:val="1"/>
        </w:numPr>
        <w:spacing w:lineRule="auto" w:line="360"/>
        <w:rPr>
          <w:rFonts w:ascii="Courier New" w:hAnsi="Courier New" w:cs="Courier New"/>
          <w:sz w:val="22"/>
        </w:rPr>
      </w:pPr>
      <w:r>
        <w:rPr>
          <w:rFonts w:cs="Courier New" w:ascii="Courier New" w:hAnsi="Courier New"/>
          <w:sz w:val="22"/>
        </w:rPr>
        <w:t xml:space="preserve">Environmental impacts are minimized or mitigated; </w:t>
      </w:r>
    </w:p>
    <w:p>
      <w:pPr>
        <w:pStyle w:val="Normal"/>
        <w:numPr>
          <w:ilvl w:val="0"/>
          <w:numId w:val="1"/>
        </w:numPr>
        <w:spacing w:lineRule="auto" w:line="360"/>
        <w:rPr>
          <w:rFonts w:ascii="Courier New" w:hAnsi="Courier New" w:cs="Courier New"/>
          <w:sz w:val="22"/>
        </w:rPr>
      </w:pPr>
      <w:r>
        <w:rPr>
          <w:rFonts w:cs="Courier New" w:ascii="Courier New" w:hAnsi="Courier New"/>
          <w:sz w:val="22"/>
        </w:rPr>
        <w:t>More cost-effective domestic supplies are developed first, including offshore California, Florida and the Gulf of Mexico;</w:t>
      </w:r>
    </w:p>
    <w:p>
      <w:pPr>
        <w:pStyle w:val="Normal"/>
        <w:numPr>
          <w:ilvl w:val="0"/>
          <w:numId w:val="1"/>
        </w:numPr>
        <w:spacing w:lineRule="auto" w:line="360"/>
        <w:rPr>
          <w:rFonts w:ascii="Courier New" w:hAnsi="Courier New" w:cs="Courier New"/>
          <w:sz w:val="22"/>
        </w:rPr>
      </w:pPr>
      <w:r>
        <w:rPr>
          <w:rFonts w:cs="Courier New" w:ascii="Courier New" w:hAnsi="Courier New"/>
          <w:sz w:val="22"/>
        </w:rPr>
        <w:t>Alaskans are guaranteed a portion of any natural gas produced;</w:t>
      </w:r>
    </w:p>
    <w:p>
      <w:pPr>
        <w:pStyle w:val="Normal"/>
        <w:numPr>
          <w:ilvl w:val="0"/>
          <w:numId w:val="1"/>
        </w:numPr>
        <w:spacing w:lineRule="auto" w:line="360"/>
        <w:rPr>
          <w:rFonts w:ascii="Courier New" w:hAnsi="Courier New" w:cs="Courier New"/>
          <w:sz w:val="22"/>
        </w:rPr>
      </w:pPr>
      <w:r>
        <w:rPr>
          <w:rFonts w:cs="Courier New" w:ascii="Courier New" w:hAnsi="Courier New"/>
          <w:sz w:val="22"/>
        </w:rPr>
        <w:t>Café standards are increased for passenger vehicles; and</w:t>
      </w:r>
    </w:p>
    <w:p>
      <w:pPr>
        <w:pStyle w:val="Normal"/>
        <w:numPr>
          <w:ilvl w:val="0"/>
          <w:numId w:val="1"/>
        </w:numPr>
        <w:spacing w:lineRule="auto" w:line="360"/>
        <w:rPr>
          <w:rFonts w:ascii="Courier New" w:hAnsi="Courier New" w:cs="Courier New"/>
          <w:sz w:val="22"/>
        </w:rPr>
      </w:pPr>
      <w:r>
        <w:rPr>
          <w:rFonts w:cs="Courier New" w:ascii="Courier New" w:hAnsi="Courier New"/>
          <w:sz w:val="22"/>
        </w:rPr>
        <w:t>Energy efficiency standards are increased for residential appliances-including refrigerators and air conditioners.</w:t>
      </w:r>
    </w:p>
    <w:p>
      <w:pPr>
        <w:pStyle w:val="Normal"/>
        <w:spacing w:lineRule="auto" w:line="360"/>
        <w:ind w:start="435" w:end="0"/>
        <w:rPr>
          <w:rFonts w:ascii="Courier New" w:hAnsi="Courier New" w:cs="Courier New"/>
          <w:sz w:val="22"/>
        </w:rPr>
      </w:pPr>
      <w:r>
        <w:rPr>
          <w:rFonts w:cs="Courier New" w:ascii="Courier New" w:hAnsi="Courier New"/>
          <w:sz w:val="22"/>
        </w:rPr>
      </w:r>
    </w:p>
    <w:p>
      <w:pPr>
        <w:pStyle w:val="BodyText2"/>
        <w:ind w:firstLine="435" w:end="0"/>
        <w:rPr>
          <w:rFonts w:ascii="Courier New" w:hAnsi="Courier New" w:cs="Courier New"/>
          <w:sz w:val="22"/>
        </w:rPr>
      </w:pPr>
      <w:r>
        <w:rPr>
          <w:rFonts w:cs="Courier New" w:ascii="Courier New" w:hAnsi="Courier New"/>
          <w:sz w:val="22"/>
        </w:rPr>
      </w:r>
    </w:p>
    <w:p>
      <w:pPr>
        <w:pStyle w:val="BodyText2"/>
        <w:ind w:firstLine="435" w:end="0"/>
        <w:rPr>
          <w:rFonts w:ascii="Courier New" w:hAnsi="Courier New" w:cs="Courier New"/>
        </w:rPr>
      </w:pPr>
      <w:r>
        <w:rPr>
          <w:rFonts w:cs="Courier New" w:ascii="Courier New" w:hAnsi="Courier New"/>
        </w:rPr>
      </w:r>
    </w:p>
    <w:p>
      <w:pPr>
        <w:pStyle w:val="BodyText2"/>
        <w:ind w:firstLine="435" w:end="0"/>
        <w:rPr>
          <w:rFonts w:ascii="Courier New" w:hAnsi="Courier New" w:cs="Courier New"/>
        </w:rPr>
      </w:pPr>
      <w:r>
        <w:rPr>
          <w:rFonts w:cs="Courier New" w:ascii="Courier New" w:hAnsi="Courier New"/>
        </w:rPr>
      </w:r>
    </w:p>
    <w:p>
      <w:pPr>
        <w:pStyle w:val="BodyText2"/>
        <w:ind w:firstLine="435" w:end="0"/>
        <w:rPr>
          <w:rFonts w:ascii="Courier New" w:hAnsi="Courier New" w:cs="Courier New"/>
        </w:rPr>
      </w:pPr>
      <w:r>
        <w:rPr>
          <w:rFonts w:cs="Courier New" w:ascii="Courier New" w:hAnsi="Courier New"/>
        </w:rPr>
        <w:t>“</w:t>
      </w:r>
      <w:r>
        <w:rPr>
          <w:rFonts w:cs="Courier New" w:ascii="Courier New" w:hAnsi="Courier New"/>
        </w:rPr>
        <w:t>We’ve included these conditions in our support to ensure that ANWR is part of a comprehensive energy strategy.  Exploration of ANWR should not occur without first developing more cost-effective resources in the Lower 48,” said Carolyn Green, Chair of AABE’s Legislative and Public Policy Committee. “Since 1977, AABE has been committed to lower energy costs for low-income and minority communities.  That’s why improving the energy efficiency of our automobiles and appliances is another important part of an energy strategy.”</w:t>
      </w:r>
    </w:p>
    <w:p>
      <w:pPr>
        <w:pStyle w:val="Normal"/>
        <w:spacing w:lineRule="auto" w:line="360"/>
        <w:ind w:start="435" w:end="0"/>
        <w:rPr>
          <w:rFonts w:ascii="Courier New" w:hAnsi="Courier New" w:cs="Courier New"/>
          <w:sz w:val="22"/>
        </w:rPr>
      </w:pPr>
      <w:r>
        <w:rPr>
          <w:rFonts w:cs="Courier New" w:ascii="Courier New" w:hAnsi="Courier New"/>
          <w:sz w:val="22"/>
        </w:rPr>
      </w:r>
    </w:p>
    <w:p>
      <w:pPr>
        <w:pStyle w:val="BodyText2"/>
        <w:rPr>
          <w:rFonts w:ascii="Courier New" w:hAnsi="Courier New" w:cs="Courier New"/>
        </w:rPr>
      </w:pPr>
      <w:r>
        <w:rPr>
          <w:rFonts w:cs="Courier New" w:ascii="Courier New" w:hAnsi="Courier New"/>
        </w:rPr>
        <w:tab/>
        <w:t>AABE is a national association of energy professionals founded and dedicated to ensure the input of African Americans and other minorities into the discussion and development of energy policies, regulations, R&amp;D technologies and environmental issues.  More information about AABE and its positions on the National Energy Policy may be found on its web site, www.aabe.org.</w:t>
      </w:r>
    </w:p>
    <w:p>
      <w:pPr>
        <w:pStyle w:val="Header"/>
        <w:tabs>
          <w:tab w:val="clear" w:pos="4320"/>
          <w:tab w:val="clear" w:pos="8640"/>
        </w:tabs>
        <w:rPr>
          <w:rFonts w:ascii="Arial Narrow" w:hAnsi="Arial Narrow" w:cs="Arial Narrow"/>
        </w:rPr>
      </w:pPr>
      <w:r>
        <w:rPr>
          <w:rFonts w:cs="Arial Narrow" w:ascii="Arial Narrow" w:hAnsi="Arial Narrow"/>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ourier New" w:hAnsi="Courier New" w:cs="Courier New"/>
        <w:b/>
        <w:sz w:val="24"/>
      </w:rPr>
    </w:pPr>
    <w:r>
      <w:rPr>
        <w:rFonts w:cs="Courier New" w:ascii="Courier New" w:hAnsi="Courier New"/>
        <w:b/>
        <w:sz w:val="24"/>
      </w:rPr>
      <w:t>NEWS RELEASE</w:t>
    </w:r>
  </w:p>
  <w:p>
    <w:pPr>
      <w:pStyle w:val="Header"/>
      <w:rPr>
        <w:rFonts w:ascii="Courier New" w:hAnsi="Courier New" w:cs="Courier New"/>
        <w:b/>
        <w:sz w:val="24"/>
      </w:rPr>
    </w:pPr>
    <w:r>
      <w:rPr>
        <w:rFonts w:cs="Courier New" w:ascii="Courier New" w:hAnsi="Courier New"/>
        <w:b/>
        <w:sz w:val="24"/>
      </w:rPr>
    </w:r>
  </w:p>
  <w:p>
    <w:pPr>
      <w:pStyle w:val="Header"/>
      <w:rPr>
        <w:rFonts w:ascii="Courier New" w:hAnsi="Courier New" w:cs="Courier New"/>
        <w:sz w:val="24"/>
      </w:rPr>
    </w:pPr>
    <w:r>
      <w:rPr>
        <w:rFonts w:cs="Courier New" w:ascii="Courier New" w:hAnsi="Courier New"/>
        <w:sz w:val="24"/>
      </w:rPr>
      <w:t>For information contact:</w:t>
      <w:tab/>
      <w:tab/>
    </w:r>
  </w:p>
  <w:p>
    <w:pPr>
      <w:pStyle w:val="Header"/>
      <w:rPr>
        <w:rFonts w:ascii="Courier New" w:hAnsi="Courier New" w:cs="Courier New"/>
        <w:sz w:val="24"/>
      </w:rPr>
    </w:pPr>
    <w:r>
      <w:rPr>
        <w:rFonts w:cs="Courier New" w:ascii="Courier New" w:hAnsi="Courier New"/>
        <w:sz w:val="24"/>
      </w:rPr>
      <w:t>Bob Hill (202) 371-9530</w:t>
      <w:tab/>
      <w:tab/>
      <w:t>For immediate release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5"/>
        </w:tabs>
        <w:ind w:start="435" w:hanging="43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New" w:hAnsi="Courier New" w:cs="Courier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pPr>
    <w:rPr>
      <w:rFonts w:ascii="Arial Narrow" w:hAnsi="Arial Narrow" w:cs="Arial Narrow"/>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2001-12-17T17:53:00Z</dcterms:created>
  <dc:creator>paula jackson</dc:creator>
  <dc:description/>
  <dc:language>en-CA</dc:language>
  <cp:lastModifiedBy>Spencerita Bellinger</cp:lastModifiedBy>
  <cp:lastPrinted>2001-12-13T16:33:00Z</cp:lastPrinted>
  <dcterms:modified xsi:type="dcterms:W3CDTF">2001-12-18T14:02:00Z</dcterms:modified>
  <cp:revision>4</cp:revision>
  <dc:subject/>
  <dc:title>American Association of Blacks in Energy Supports Drilling in Arctic National Wildlife Refuge with conditions</dc:title>
</cp:coreProperties>
</file>