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ANNEX IV</w:t>
      </w:r>
    </w:p>
    <w:p>
      <w:pPr>
        <w:pStyle w:val="Normal"/>
        <w:rPr/>
      </w:pPr>
      <w:r>
        <w:rPr/>
      </w:r>
    </w:p>
    <w:p>
      <w:pPr>
        <w:pStyle w:val="Normal"/>
        <w:rPr/>
      </w:pPr>
      <w:r>
        <w:rPr/>
        <w:t>26.4 Resolution of Certain Purchaser-Agent Disputes.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Normal"/>
        <w:rPr/>
      </w:pPr>
      <w:r>
        <w:rPr/>
      </w:r>
    </w:p>
    <w:p>
      <w:pPr>
        <w:pStyle w:val="Normal"/>
        <w:numPr>
          <w:ilvl w:val="0"/>
          <w:numId w:val="1"/>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Normal"/>
        <w:numPr>
          <w:ilvl w:val="0"/>
          <w:numId w:val="1"/>
        </w:numPr>
        <w:rPr/>
      </w:pPr>
      <w:r>
        <w:rPr/>
        <w:t>any arbitration proceeding referred to in Section 26.4 (a) shall be deemed a Related Dispute hereunder.</w:t>
      </w:r>
    </w:p>
    <w:p>
      <w:pPr>
        <w:pStyle w:val="Normal"/>
        <w:rPr/>
      </w:pPr>
      <w:r>
        <w:rPr/>
      </w:r>
    </w:p>
    <w:p>
      <w:pPr>
        <w:pStyle w:val="Normal"/>
        <w:rPr/>
      </w:pPr>
      <w:r>
        <w:rPr/>
        <w:t>26.5</w:t>
        <w:tab/>
        <w:t>Limitation on Power of Arbitrators.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2000-12-06T12:39:00Z</dcterms:created>
  <dc:creator>rengeld</dc:creator>
  <dc:description/>
  <dc:language>en-CA</dc:language>
  <cp:lastModifiedBy>rengeld</cp:lastModifiedBy>
  <dcterms:modified xsi:type="dcterms:W3CDTF">2000-12-06T12:50:00Z</dcterms:modified>
  <cp:revision>1</cp:revision>
  <dc:subject/>
  <dc:title>ANNEX IV</dc:title>
</cp:coreProperties>
</file>