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ANNEX 1</w:t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/>
      </w:pPr>
      <w:r>
        <w:rPr/>
        <w:t>Shares comprised in the Basket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BodyText2"/>
        <w:rPr/>
      </w:pPr>
      <w:r>
        <w:rPr/>
        <w:t>The Basket is composed of the specified Shares of the Issuers listed below in the relative proportions and numbers set out in  relation to each Issuer Below.</w:t>
      </w:r>
    </w:p>
    <w:p>
      <w:pPr>
        <w:pStyle w:val="Header"/>
        <w:tabs>
          <w:tab w:val="clear" w:pos="4320"/>
          <w:tab w:val="clear" w:pos="8640"/>
        </w:tabs>
        <w:ind w:end="-1080"/>
        <w:rPr/>
      </w:pPr>
      <w:r>
        <w:rPr/>
      </w:r>
    </w:p>
    <w:tbl>
      <w:tblPr>
        <w:tblW w:w="11010" w:type="dxa"/>
        <w:jc w:val="start"/>
        <w:tblInd w:w="-105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660"/>
        <w:gridCol w:w="810"/>
        <w:gridCol w:w="1620"/>
        <w:gridCol w:w="810"/>
        <w:gridCol w:w="1260"/>
        <w:gridCol w:w="1350"/>
        <w:gridCol w:w="1950"/>
        <w:gridCol w:w="1200"/>
        <w:gridCol w:w="1350"/>
      </w:tblGrid>
      <w:tr>
        <w:trPr>
          <w:trHeight w:val="653" w:hRule="atLeast"/>
        </w:trPr>
        <w:tc>
          <w:tcPr>
            <w:tcW w:w="6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sz w:val="16"/>
                <w:lang w:eastAsia="en-US"/>
              </w:rPr>
              <w:t>Trade Date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sz w:val="16"/>
                <w:lang w:eastAsia="en-US"/>
              </w:rPr>
              <w:t>Effective Date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sz w:val="16"/>
                <w:lang w:eastAsia="en-US"/>
              </w:rPr>
              <w:t>IPA Shares (the "Issuer")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sz w:val="16"/>
                <w:lang w:eastAsia="en-US"/>
              </w:rPr>
              <w:t>Exchange identifier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sz w:val="16"/>
                <w:lang w:eastAsia="en-US"/>
              </w:rPr>
              <w:t>Class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sz w:val="16"/>
                <w:lang w:eastAsia="en-US"/>
              </w:rPr>
              <w:t>IPA Price  (USD)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sz w:val="16"/>
                <w:lang w:eastAsia="en-US"/>
              </w:rPr>
              <w:t>*IPA Modified Price</w:t>
            </w:r>
          </w:p>
        </w:tc>
        <w:tc>
          <w:tcPr>
            <w:tcW w:w="19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sz w:val="16"/>
                <w:lang w:eastAsia="en-US"/>
              </w:rPr>
              <w:t>IPA Number of Shares comprised in the Basket</w:t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sz w:val="16"/>
                <w:lang w:eastAsia="en-US"/>
              </w:rPr>
              <w:t>Exchange(s)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sz w:val="16"/>
                <w:lang w:eastAsia="en-US"/>
              </w:rPr>
              <w:t>Notional Amount (USD)</w:t>
            </w:r>
          </w:p>
        </w:tc>
      </w:tr>
      <w:tr>
        <w:trPr>
          <w:trHeight w:val="247" w:hRule="atLeast"/>
        </w:trPr>
        <w:tc>
          <w:tcPr>
            <w:tcW w:w="6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6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6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6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6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6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6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Totals:</w:t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$   7,865,597.50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ind w:end="-1080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ind w:end="-1080"/>
        <w:rPr/>
      </w:pPr>
      <w:r>
        <w:rPr/>
      </w:r>
    </w:p>
    <w:p>
      <w:pPr>
        <w:pStyle w:val="BodyText"/>
        <w:tabs>
          <w:tab w:val="clear" w:pos="0"/>
          <w:tab w:val="clear" w:pos="3496"/>
        </w:tabs>
        <w:rPr/>
      </w:pPr>
      <w:r>
        <w:rPr/>
        <w:t>“</w:t>
      </w:r>
      <w:r>
        <w:rPr/>
        <w:t>NYSE” means New York Stock Exchange.</w:t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800" w:right="1800" w:gutter="0" w:header="72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>EIXPCG01172001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0" w:leader="none"/>
        <w:tab w:val="right" w:pos="3496" w:leader="none"/>
      </w:tabs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center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2001-03-30T20:44:00Z</dcterms:created>
  <dc:creator>jgarci11</dc:creator>
  <dc:description/>
  <dc:language>en-CA</dc:language>
  <cp:lastModifiedBy>jgarci11</cp:lastModifiedBy>
  <dcterms:modified xsi:type="dcterms:W3CDTF">2001-03-30T20:52:00Z</dcterms:modified>
  <cp:revision>1</cp:revision>
  <dc:subject/>
  <dc:title>ANNEX 1</dc:title>
</cp:coreProperties>
</file>