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ANNEX I, Part 1</w:t>
      </w:r>
    </w:p>
    <w:p>
      <w:pPr>
        <w:pStyle w:val="Normal"/>
        <w:jc w:val="both"/>
        <w:rPr>
          <w:b/>
          <w:sz w:val="22"/>
        </w:rPr>
      </w:pPr>
      <w:r>
        <w:rPr>
          <w:b/>
          <w:sz w:val="22"/>
        </w:rPr>
      </w:r>
    </w:p>
    <w:p>
      <w:pPr>
        <w:pStyle w:val="Normal"/>
        <w:jc w:val="center"/>
        <w:rPr>
          <w:b/>
          <w:sz w:val="22"/>
        </w:rPr>
      </w:pPr>
      <w:r>
        <w:rPr>
          <w:b/>
          <w:sz w:val="22"/>
        </w:rPr>
        <w:t>Supplemental Terms and Conditions</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Paragraph references are to paragraphs in the Agreement.</w:t>
      </w:r>
    </w:p>
    <w:p>
      <w:pPr>
        <w:pStyle w:val="Normal"/>
        <w:jc w:val="both"/>
        <w:rPr>
          <w:sz w:val="22"/>
        </w:rPr>
      </w:pPr>
      <w:r>
        <w:rPr>
          <w:sz w:val="22"/>
        </w:rPr>
      </w:r>
    </w:p>
    <w:p>
      <w:pPr>
        <w:pStyle w:val="Normal"/>
        <w:numPr>
          <w:ilvl w:val="0"/>
          <w:numId w:val="3"/>
        </w:numPr>
        <w:jc w:val="both"/>
        <w:rPr>
          <w:sz w:val="22"/>
        </w:rPr>
      </w:pPr>
      <w:r>
        <w:rPr>
          <w:sz w:val="22"/>
        </w:rPr>
        <w:t>The following elections shall apply:</w:t>
      </w:r>
    </w:p>
    <w:p>
      <w:pPr>
        <w:pStyle w:val="Normal"/>
        <w:jc w:val="both"/>
        <w:rPr>
          <w:sz w:val="22"/>
        </w:rPr>
      </w:pPr>
      <w:r>
        <w:rPr>
          <w:sz w:val="22"/>
        </w:rPr>
      </w:r>
    </w:p>
    <w:p>
      <w:pPr>
        <w:pStyle w:val="Normal"/>
        <w:jc w:val="both"/>
        <w:rPr>
          <w:sz w:val="22"/>
        </w:rPr>
      </w:pPr>
      <w:r>
        <w:rPr>
          <w:sz w:val="22"/>
        </w:rPr>
        <w:tab/>
      </w:r>
    </w:p>
    <w:p>
      <w:pPr>
        <w:pStyle w:val="Normal"/>
        <w:ind w:hanging="1440" w:start="720" w:end="720"/>
        <w:jc w:val="both"/>
        <w:rPr>
          <w:sz w:val="22"/>
        </w:rPr>
      </w:pPr>
      <w:r>
        <w:rPr>
          <w:sz w:val="22"/>
        </w:rPr>
        <w:tab/>
        <w:t>(a)</w:t>
        <w:tab/>
        <w:t>paragraph 2(l).</w:t>
      </w:r>
    </w:p>
    <w:p>
      <w:pPr>
        <w:pStyle w:val="Normal"/>
        <w:ind w:hanging="720" w:start="1440" w:end="720"/>
        <w:jc w:val="both"/>
        <w:rPr>
          <w:sz w:val="22"/>
        </w:rPr>
      </w:pPr>
      <w:r>
        <w:rPr>
          <w:sz w:val="22"/>
        </w:rPr>
      </w:r>
    </w:p>
    <w:p>
      <w:pPr>
        <w:pStyle w:val="Normal"/>
        <w:ind w:hanging="720" w:start="2160" w:end="720"/>
        <w:jc w:val="both"/>
        <w:rPr>
          <w:sz w:val="22"/>
        </w:rPr>
      </w:pPr>
      <w:r>
        <w:rPr>
          <w:sz w:val="22"/>
        </w:rPr>
        <w:t>Party B may act through any of the following Designated Offices:-</w:t>
      </w:r>
    </w:p>
    <w:p>
      <w:pPr>
        <w:pStyle w:val="Normal"/>
        <w:ind w:hanging="720" w:start="2160" w:end="720"/>
        <w:jc w:val="both"/>
        <w:rPr>
          <w:sz w:val="22"/>
        </w:rPr>
      </w:pPr>
      <w:r>
        <w:rPr>
          <w:sz w:val="22"/>
        </w:rPr>
      </w:r>
    </w:p>
    <w:p>
      <w:pPr>
        <w:pStyle w:val="Normal"/>
        <w:ind w:hanging="720" w:start="2160" w:end="720"/>
        <w:jc w:val="both"/>
        <w:rPr>
          <w:sz w:val="22"/>
        </w:rPr>
      </w:pPr>
      <w:r>
        <w:rPr>
          <w:sz w:val="22"/>
        </w:rPr>
        <w:tab/>
        <w:t>1400 Smith Street</w:t>
      </w:r>
    </w:p>
    <w:p>
      <w:pPr>
        <w:pStyle w:val="Normal"/>
        <w:ind w:hanging="720" w:start="2160" w:end="720"/>
        <w:jc w:val="both"/>
        <w:rPr>
          <w:sz w:val="22"/>
        </w:rPr>
      </w:pPr>
      <w:r>
        <w:rPr>
          <w:sz w:val="22"/>
        </w:rPr>
        <w:tab/>
        <w:t>Houston, Texas  77002</w:t>
      </w:r>
    </w:p>
    <w:p>
      <w:pPr>
        <w:pStyle w:val="Normal"/>
        <w:ind w:hanging="720" w:start="2160" w:end="720"/>
        <w:jc w:val="both"/>
        <w:rPr>
          <w:sz w:val="22"/>
        </w:rPr>
      </w:pPr>
      <w:r>
        <w:rPr>
          <w:sz w:val="22"/>
        </w:rPr>
      </w:r>
    </w:p>
    <w:p>
      <w:pPr>
        <w:pStyle w:val="Normal"/>
        <w:ind w:hanging="720" w:start="2160" w:end="720"/>
        <w:jc w:val="both"/>
        <w:rPr>
          <w:sz w:val="22"/>
        </w:rPr>
      </w:pPr>
      <w:r>
        <w:rPr>
          <w:sz w:val="22"/>
        </w:rPr>
        <w:tab/>
        <w:tab/>
      </w:r>
    </w:p>
    <w:p>
      <w:pPr>
        <w:pStyle w:val="Normal"/>
        <w:jc w:val="both"/>
        <w:rPr>
          <w:sz w:val="22"/>
        </w:rPr>
      </w:pPr>
      <w:r>
        <w:rPr>
          <w:sz w:val="22"/>
        </w:rPr>
        <w:t>2.</w:t>
        <w:tab/>
        <w:t>The following Supplemental Terms and Conditions shall apply:</w:t>
      </w:r>
    </w:p>
    <w:p>
      <w:pPr>
        <w:pStyle w:val="Normal"/>
        <w:jc w:val="both"/>
        <w:rPr>
          <w:sz w:val="22"/>
        </w:rPr>
      </w:pPr>
      <w:r>
        <w:rPr>
          <w:sz w:val="22"/>
        </w:rPr>
      </w:r>
    </w:p>
    <w:p>
      <w:pPr>
        <w:pStyle w:val="BodyTextIndent"/>
        <w:ind w:hanging="0" w:start="720" w:end="720"/>
        <w:rPr/>
      </w:pPr>
      <w:r>
        <w:rPr/>
        <w:t>(a)</w:t>
        <w:tab/>
        <w:t>Party A represents to Party B, with respect to each Transaction which Party A effects through an office other than its Designated Office, that, notwithstanding the place of booking office or jurisdiction of incorporation or organization of Party A or its agent, the obligations of Party A are the same as if it had entered into the Transaction through its Designated Office.  This representation will be deemed to be repeated by Party A on each date on which a Transaction is entered into.</w:t>
      </w:r>
    </w:p>
    <w:p>
      <w:pPr>
        <w:pStyle w:val="Normal"/>
        <w:ind w:hanging="720" w:start="2160" w:end="720"/>
        <w:jc w:val="both"/>
        <w:rPr>
          <w:sz w:val="22"/>
        </w:rPr>
      </w:pPr>
      <w:r>
        <w:rPr>
          <w:sz w:val="22"/>
        </w:rPr>
      </w:r>
    </w:p>
    <w:p>
      <w:pPr>
        <w:pStyle w:val="Normal"/>
        <w:ind w:hanging="720" w:start="1440" w:end="720"/>
        <w:jc w:val="both"/>
        <w:rPr>
          <w:sz w:val="22"/>
        </w:rPr>
      </w:pPr>
      <w:r>
        <w:rPr>
          <w:sz w:val="22"/>
        </w:rPr>
      </w:r>
    </w:p>
    <w:p>
      <w:pPr>
        <w:pStyle w:val="Normal"/>
        <w:ind w:start="720" w:end="0"/>
        <w:jc w:val="both"/>
        <w:rPr/>
      </w:pPr>
      <w:r>
        <w:rPr>
          <w:sz w:val="22"/>
        </w:rPr>
        <w:t>(b)</w:t>
        <w:tab/>
      </w:r>
      <w:r>
        <w:rPr>
          <w:sz w:val="22"/>
          <w:u w:val="single"/>
        </w:rPr>
        <w:t>Confirmation and Recording</w:t>
      </w:r>
      <w:r>
        <w:rPr>
          <w:sz w:val="22"/>
        </w:rPr>
        <w:t>.  (i)  Unless otherwise agreed, on or promptly following the date on which the parties reach agreement on the terms of a Transaction as contemplated by Paragraph 3(b) of the Agreement, Party A will send to Party B a Confirmation.  If any dispute shall arise as to whether an error exists in a Confirmation, the parties shall in good faith make reasonable efforts to resolve the dispute.</w:t>
      </w:r>
    </w:p>
    <w:p>
      <w:pPr>
        <w:pStyle w:val="Normal"/>
        <w:ind w:hanging="720" w:start="720" w:end="0"/>
        <w:jc w:val="both"/>
        <w:rPr>
          <w:sz w:val="22"/>
        </w:rPr>
      </w:pPr>
      <w:r>
        <w:rPr>
          <w:sz w:val="22"/>
        </w:rPr>
      </w:r>
    </w:p>
    <w:p>
      <w:pPr>
        <w:pStyle w:val="Normal"/>
        <w:ind w:hanging="720" w:start="720" w:end="0"/>
        <w:jc w:val="both"/>
        <w:rPr>
          <w:sz w:val="22"/>
        </w:rPr>
      </w:pPr>
      <w:r>
        <w:rPr>
          <w:sz w:val="22"/>
        </w:rPr>
        <w:tab/>
        <w:tab/>
        <w:t>(ii)  Each party hereby consents to the monitoring or recording, at any time and from time to time, by the other party of any and all communications between officers or employees of the parties pursuant to or concerning this Agreement, and waives any further notice of such monitoring or recording.</w:t>
      </w:r>
    </w:p>
    <w:p>
      <w:pPr>
        <w:pStyle w:val="Normal"/>
        <w:jc w:val="both"/>
        <w:rPr>
          <w:sz w:val="22"/>
        </w:rPr>
      </w:pPr>
      <w:r>
        <w:rPr>
          <w:sz w:val="22"/>
        </w:rPr>
      </w:r>
    </w:p>
    <w:p>
      <w:pPr>
        <w:pStyle w:val="Normal"/>
        <w:ind w:hanging="720" w:start="1440" w:end="720"/>
        <w:jc w:val="both"/>
        <w:rPr>
          <w:sz w:val="22"/>
        </w:rPr>
      </w:pPr>
      <w:r>
        <w:rPr>
          <w:sz w:val="22"/>
        </w:rPr>
      </w:r>
    </w:p>
    <w:p>
      <w:pPr>
        <w:pStyle w:val="Normal"/>
        <w:ind w:hanging="720" w:start="1440" w:end="720"/>
        <w:jc w:val="both"/>
        <w:rPr>
          <w:sz w:val="22"/>
        </w:rPr>
      </w:pPr>
      <w:r>
        <w:rPr>
          <w:sz w:val="22"/>
        </w:rPr>
        <w:t>(c)</w:t>
        <w:tab/>
        <w:t>Paragraph 3(b)(v) shall be deleted and paragraphs 3.(b)(vi), 3(b)(vii) and 3(b)(viii) shall be renumbered as 3.(b)(v), 3.(b)(vi) and 3.(b)(vii) respectively.</w:t>
      </w:r>
    </w:p>
    <w:p>
      <w:pPr>
        <w:pStyle w:val="Normal"/>
        <w:ind w:hanging="720" w:start="1440" w:end="720"/>
        <w:jc w:val="both"/>
        <w:rPr>
          <w:sz w:val="22"/>
        </w:rPr>
      </w:pPr>
      <w:r>
        <w:rPr>
          <w:sz w:val="22"/>
        </w:rPr>
      </w:r>
    </w:p>
    <w:p>
      <w:pPr>
        <w:pStyle w:val="Normal"/>
        <w:ind w:hanging="720" w:start="1440" w:end="720"/>
        <w:jc w:val="both"/>
        <w:rPr>
          <w:sz w:val="22"/>
        </w:rPr>
      </w:pPr>
      <w:r>
        <w:rPr>
          <w:sz w:val="22"/>
        </w:rPr>
        <w:tab/>
        <w:t>Party A and Party B will inform each other on or before the Purchase Date of each party's respective details of bank accounts to which payments to be made hereunder are to be credited.</w:t>
      </w:r>
    </w:p>
    <w:p>
      <w:pPr>
        <w:pStyle w:val="Normal"/>
        <w:ind w:hanging="720" w:start="1440" w:end="720"/>
        <w:jc w:val="both"/>
        <w:rPr>
          <w:sz w:val="22"/>
        </w:rPr>
      </w:pPr>
      <w:r>
        <w:rPr>
          <w:sz w:val="22"/>
        </w:rPr>
      </w:r>
    </w:p>
    <w:p>
      <w:pPr>
        <w:pStyle w:val="Normal"/>
        <w:ind w:hanging="720" w:start="1440" w:end="720"/>
        <w:jc w:val="both"/>
        <w:rPr>
          <w:sz w:val="22"/>
        </w:rPr>
      </w:pPr>
      <w:r>
        <w:rPr>
          <w:sz w:val="22"/>
        </w:rPr>
        <w:t>(d)</w:t>
        <w:tab/>
        <w:t>paragraph 10(a).  The word “or” shall be added at the end of paragraph 10(a)(viii) and the following paragraphs shall be inserted in paragraph 10(a) after paragraph 10(a)(viii):</w:t>
      </w:r>
    </w:p>
    <w:p>
      <w:pPr>
        <w:pStyle w:val="Normal"/>
        <w:ind w:hanging="720" w:start="1440" w:end="720"/>
        <w:jc w:val="both"/>
        <w:rPr>
          <w:sz w:val="22"/>
        </w:rPr>
      </w:pPr>
      <w:r>
        <w:rPr>
          <w:sz w:val="22"/>
        </w:rPr>
      </w:r>
    </w:p>
    <w:p>
      <w:pPr>
        <w:pStyle w:val="Normal"/>
        <w:ind w:hanging="720" w:start="2160" w:end="720"/>
        <w:jc w:val="both"/>
        <w:rPr>
          <w:sz w:val="22"/>
        </w:rPr>
      </w:pPr>
      <w:r>
        <w:rPr>
          <w:sz w:val="22"/>
        </w:rPr>
        <w:t xml:space="preserve"> “</w:t>
      </w:r>
      <w:r>
        <w:rPr>
          <w:sz w:val="22"/>
        </w:rPr>
        <w:t>(ix)</w:t>
        <w:tab/>
        <w:t xml:space="preserve"> as a result of sovereign action or inaction (directly or indirectly), Buyer or Seller becomes unable to perform any absolute or contingent obligation to make a payment or transfer or to receive a payment or transfer in respect of any Transaction under the Agreement or to comply with any other material provision of the Agreement relating to such Transaction; or”</w:t>
      </w:r>
    </w:p>
    <w:p>
      <w:pPr>
        <w:pStyle w:val="Normal"/>
        <w:ind w:hanging="720" w:start="2160" w:end="720"/>
        <w:jc w:val="both"/>
        <w:rPr>
          <w:sz w:val="22"/>
        </w:rPr>
      </w:pPr>
      <w:r>
        <w:rPr>
          <w:sz w:val="22"/>
        </w:rPr>
      </w:r>
    </w:p>
    <w:p>
      <w:pPr>
        <w:pStyle w:val="Normal"/>
        <w:ind w:hanging="720" w:start="1440" w:end="720"/>
        <w:jc w:val="both"/>
        <w:rPr>
          <w:sz w:val="22"/>
        </w:rPr>
      </w:pPr>
      <w:r>
        <w:rPr>
          <w:sz w:val="22"/>
        </w:rPr>
        <w:t>(e)</w:t>
        <w:tab/>
        <w:t>Upon Termination of the last Transaction outstanding under the Agreement from time to time, any party to whom Cash Margin has been paid, which has not been paid to the other party in accordance with the Margin Transfer provisions in paragraph 4, shall repay all that Cash Margin to the other party no later than the next Business Day following such Termination.</w:t>
      </w:r>
    </w:p>
    <w:p>
      <w:pPr>
        <w:pStyle w:val="Normal"/>
        <w:ind w:hanging="720" w:start="1440" w:end="720"/>
        <w:jc w:val="both"/>
        <w:rPr>
          <w:sz w:val="22"/>
        </w:rPr>
      </w:pPr>
      <w:r>
        <w:rPr>
          <w:sz w:val="22"/>
        </w:rPr>
      </w:r>
    </w:p>
    <w:p>
      <w:pPr>
        <w:pStyle w:val="Normal"/>
        <w:ind w:hanging="720" w:start="1440" w:end="720"/>
        <w:jc w:val="both"/>
        <w:rPr>
          <w:sz w:val="22"/>
        </w:rPr>
      </w:pPr>
      <w:r>
        <w:rPr>
          <w:sz w:val="22"/>
        </w:rPr>
        <w:t>(f)</w:t>
        <w:tab/>
        <w:t>Exercise of Rights of Conversion.  References to "Purchased Securities" in paragraph 5, of Annex I, Part 2, shall be references to "Purchased Securities, Margin Securities and New Purchased Securities".</w:t>
      </w:r>
    </w:p>
    <w:p>
      <w:pPr>
        <w:pStyle w:val="Normal"/>
        <w:jc w:val="both"/>
        <w:rPr>
          <w:sz w:val="22"/>
        </w:rPr>
      </w:pPr>
      <w:r>
        <w:rPr>
          <w:sz w:val="22"/>
        </w:rPr>
      </w:r>
    </w:p>
    <w:p>
      <w:pPr>
        <w:pStyle w:val="Normal"/>
        <w:spacing w:lineRule="atLeast" w:line="240"/>
        <w:jc w:val="both"/>
        <w:rPr>
          <w:sz w:val="22"/>
        </w:rPr>
      </w:pPr>
      <w:r>
        <w:rPr>
          <w:sz w:val="22"/>
        </w:rPr>
        <w:t>3.</w:t>
        <w:tab/>
      </w:r>
      <w:r>
        <w:rPr>
          <w:sz w:val="22"/>
          <w:u w:val="single"/>
        </w:rPr>
        <w:t>Additional Payment Provisions.</w:t>
      </w:r>
    </w:p>
    <w:p>
      <w:pPr>
        <w:pStyle w:val="Normal"/>
        <w:spacing w:lineRule="atLeast" w:line="240"/>
        <w:jc w:val="both"/>
        <w:rPr>
          <w:sz w:val="22"/>
        </w:rPr>
      </w:pPr>
      <w:r>
        <w:rPr>
          <w:sz w:val="22"/>
        </w:rPr>
      </w:r>
    </w:p>
    <w:p>
      <w:pPr>
        <w:pStyle w:val="Normal"/>
        <w:spacing w:lineRule="atLeast" w:line="240"/>
        <w:ind w:start="720" w:end="0"/>
        <w:jc w:val="both"/>
        <w:rPr>
          <w:sz w:val="22"/>
        </w:rPr>
      </w:pPr>
      <w:r>
        <w:rPr>
          <w:sz w:val="22"/>
        </w:rPr>
        <w:t>The parties hereby agree that subparagraph 6(b) of the Agreement is hereby amended in its entirety to read as follows:</w:t>
      </w:r>
    </w:p>
    <w:p>
      <w:pPr>
        <w:pStyle w:val="Normal"/>
        <w:spacing w:lineRule="atLeast" w:line="240"/>
        <w:jc w:val="both"/>
        <w:rPr>
          <w:sz w:val="22"/>
        </w:rPr>
      </w:pPr>
      <w:r>
        <w:rPr>
          <w:sz w:val="22"/>
        </w:rPr>
      </w:r>
    </w:p>
    <w:p>
      <w:pPr>
        <w:pStyle w:val="Normal"/>
        <w:spacing w:lineRule="atLeast" w:line="240"/>
        <w:ind w:start="720" w:end="720"/>
        <w:jc w:val="both"/>
        <w:rPr>
          <w:sz w:val="22"/>
        </w:rPr>
      </w:pPr>
      <w:r>
        <w:rPr>
          <w:sz w:val="22"/>
        </w:rPr>
        <w:t>"(b)(A)</w:t>
        <w:tab/>
        <w:t>All payments shall be made without any deduction or withholding for, or on account of, any Tax (as hereinafter defined) unless that deduction or withholding shall be required by applicable law, rule, or regulation, as modified by the practice of any relevant governmental revenue authority, then in effect.</w:t>
      </w:r>
    </w:p>
    <w:p>
      <w:pPr>
        <w:pStyle w:val="Normal"/>
        <w:spacing w:lineRule="atLeast" w:line="240"/>
        <w:ind w:start="720" w:end="720"/>
        <w:jc w:val="both"/>
        <w:rPr>
          <w:sz w:val="22"/>
        </w:rPr>
      </w:pPr>
      <w:r>
        <w:rPr>
          <w:sz w:val="22"/>
        </w:rPr>
      </w:r>
    </w:p>
    <w:p>
      <w:pPr>
        <w:pStyle w:val="Normal"/>
        <w:spacing w:lineRule="atLeast" w:line="240"/>
        <w:ind w:start="720" w:end="720"/>
        <w:jc w:val="both"/>
        <w:rPr>
          <w:sz w:val="22"/>
        </w:rPr>
      </w:pPr>
      <w:r>
        <w:rPr>
          <w:sz w:val="22"/>
        </w:rPr>
        <w:t>(B)</w:t>
        <w:tab/>
        <w:t>If a party ("the Obligated Party") shall be required to make any deduction or withholding for or on account of any Tax, then the Obligated Party shall:  (i) pay to the relevant authority the full amount required to be deducted or withheld (including the full amount required to be deducted or withheld from any Additional Amount, as hereinafter defined, paid by the Obligated Party to the other party (the "Receiving Party") under this subparagraph 6(b)), promptly upon the later of (x) the last date on which that amount is required to be paid to the relevant authority or (y) the date on which the Obligated Party receives notice that the amount (1) is payable to the relevant authority or (2) has been assessed against the Receiving Party; (ii) promptly forward to the Receiving Party an official receipt (or a certified copy) or other documentation reasonably acceptable to the Receiving Party evidencing the payment to the relevant authority; and (iii) if the Tax is an Indemnifiable Tax (as hereinafter defined), pay to the Receiving Party, in addition to the payment to which the Receiving Party otherwise is entitled, such additional amount ("Additional Amount") as is necessary to ensure that the net amount actually received by the Receiving Party (free and clear of Indemnifiable Taxes whether assessed against either party) will equal the full amount that the Receiving Party would have received if no such deduction or withholding had been required.  However, the Obligated Party shall not be required to pay any Additional Amount to the Receiving Party to the extent that it would not be required to be paid but for:  (x) the failure of the Receiving Party to comply with or perform any agreement contained in subparagraph 6(b)(D) or (E); or (y) the failure of a representation made by the Receiving Party pursuant to subparagraph 4(a) of Annex I, Part 1 to be accurate and true on the date made or deemed to be made, unless such failure would not have occurred but for the occurrence of a tax event specified in subparagraph 11(a) of the Agreement.</w:t>
      </w:r>
    </w:p>
    <w:p>
      <w:pPr>
        <w:pStyle w:val="Normal"/>
        <w:spacing w:lineRule="atLeast" w:line="240"/>
        <w:jc w:val="both"/>
        <w:rPr>
          <w:sz w:val="22"/>
        </w:rPr>
      </w:pPr>
      <w:r>
        <w:rPr>
          <w:sz w:val="22"/>
        </w:rPr>
      </w:r>
    </w:p>
    <w:p>
      <w:pPr>
        <w:pStyle w:val="Normal"/>
        <w:spacing w:lineRule="atLeast" w:line="240"/>
        <w:ind w:start="720" w:end="720"/>
        <w:jc w:val="both"/>
        <w:rPr>
          <w:sz w:val="22"/>
        </w:rPr>
      </w:pPr>
      <w:r>
        <w:rPr>
          <w:sz w:val="22"/>
        </w:rPr>
        <w:t>(C)</w:t>
        <w:tab/>
        <w:t>If (i) the Obligated Party shall be required by any applicable law, rule, or regulation, as modified by the practice of any relevant governmental revenue authority, then in effect to make any deduction or withholding in respect of which the Obligated Party would not be required to pay an Additional Amount under this subparagraph 6(b), (ii) the Obligated Party does not so deduct or withhold, and (iii) a liability resulting from such Tax is assessed directly against the Obligated Party, then except to the extent the Receiving Party shall have satisfied or then satisfies the liability resulting from such Tax, the Receiving Party shall promptly pay to the Obligated Party the amount of such liability (including any related liability for interest, but including any related liability for penalties only if the Receiving Party shall have failed to comply with or perform any agreement contained in subparagraph 6(b)(D) or (E).</w:t>
      </w:r>
    </w:p>
    <w:p>
      <w:pPr>
        <w:pStyle w:val="Normal"/>
        <w:spacing w:lineRule="atLeast" w:line="240"/>
        <w:jc w:val="both"/>
        <w:rPr>
          <w:sz w:val="22"/>
        </w:rPr>
      </w:pPr>
      <w:r>
        <w:rPr>
          <w:sz w:val="22"/>
        </w:rPr>
      </w:r>
    </w:p>
    <w:p>
      <w:pPr>
        <w:pStyle w:val="Heading2"/>
        <w:spacing w:lineRule="atLeast" w:line="240" w:before="0" w:after="0"/>
        <w:ind w:hanging="0" w:start="720" w:end="720"/>
        <w:rPr>
          <w:sz w:val="22"/>
        </w:rPr>
      </w:pPr>
      <w:r>
        <w:rPr>
          <w:sz w:val="22"/>
        </w:rPr>
        <w:t>(D)</w:t>
        <w:tab/>
        <w:t>Each party shall deliver to the other party or, in certain cases, to such government or other taxing authority as the other party reasonably directs, upon reasonable demand by such other party, any form or document that may be required or reasonably requested in writing in order to allow such other party to make a payment under the Agreement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 with any such form or document to be accurate and completed in a manner reasonably satisfactory to such other party and to be executed and delivered with any reasonably required certification, in each case by the date specified herein, in such demand, or in such Confirmation or, if none is specified, as soon as reasonably practicable.</w:t>
      </w:r>
    </w:p>
    <w:p>
      <w:pPr>
        <w:pStyle w:val="Normal"/>
        <w:ind w:hanging="720" w:start="720" w:end="0"/>
        <w:jc w:val="both"/>
        <w:rPr>
          <w:sz w:val="22"/>
        </w:rPr>
      </w:pPr>
      <w:r>
        <w:rPr>
          <w:sz w:val="22"/>
        </w:rPr>
      </w:r>
    </w:p>
    <w:p>
      <w:pPr>
        <w:pStyle w:val="BodyTextIndent2"/>
        <w:ind w:end="738"/>
        <w:rPr/>
      </w:pPr>
      <w:r>
        <w:rPr/>
        <w:t>(E)</w:t>
        <w:tab/>
        <w:t>Party A shall complete (accurately and in a manner reasonably satisfactory to Party B), execute, and deliver to Party B a United States Internal Revenue Service Form 1001 or 4224 (as the case may be) and Form W-8, or any successor forms (if applicable), (x) as of the date of the Agreement (the "Form Submission Date"), and thereafter prior to the end of the calendar year in which the second anniversary of the Form Submission Date occurs, and thereafter prior to the end of each successive three calendar year period, (y) promptly upon reasonable demand by Party B, and (z) promptly upon learning that any such form previously provided by Party A has become obsolete or incorrect.  [Party A represents for tax purposes that it is a resident of _____________ and promptly upon learning of any failure of the tax representations made by it herein to be accurate and true, it shall give notice of any such failure to Party B.]</w:t>
      </w:r>
    </w:p>
    <w:p>
      <w:pPr>
        <w:pStyle w:val="Normal"/>
        <w:ind w:hanging="720" w:start="720" w:end="0"/>
        <w:jc w:val="both"/>
        <w:rPr>
          <w:sz w:val="22"/>
        </w:rPr>
      </w:pPr>
      <w:r>
        <w:rPr>
          <w:sz w:val="22"/>
        </w:rPr>
      </w:r>
    </w:p>
    <w:p>
      <w:pPr>
        <w:pStyle w:val="Normal"/>
        <w:ind w:start="720" w:end="720"/>
        <w:jc w:val="both"/>
        <w:rPr>
          <w:sz w:val="22"/>
        </w:rPr>
      </w:pPr>
      <w:r>
        <w:rPr>
          <w:sz w:val="22"/>
        </w:rPr>
        <w:t>(F)</w:t>
        <w:tab/>
        <w:t>For purposes of this subparagraph 6(b), the following terms shall have the following meanings:</w:t>
      </w:r>
    </w:p>
    <w:p>
      <w:pPr>
        <w:pStyle w:val="Normal"/>
        <w:ind w:start="720" w:end="720"/>
        <w:jc w:val="both"/>
        <w:rPr>
          <w:sz w:val="22"/>
        </w:rPr>
      </w:pPr>
      <w:r>
        <w:rPr>
          <w:sz w:val="22"/>
        </w:rPr>
      </w:r>
    </w:p>
    <w:p>
      <w:pPr>
        <w:pStyle w:val="Normal"/>
        <w:spacing w:lineRule="atLeast" w:line="240"/>
        <w:ind w:hanging="720" w:start="2160" w:end="1440"/>
        <w:jc w:val="both"/>
        <w:rPr/>
      </w:pPr>
      <w:r>
        <w:rPr>
          <w:sz w:val="22"/>
        </w:rPr>
        <w:t>(i)</w:t>
      </w:r>
      <w:r>
        <w:rPr>
          <w:i/>
          <w:sz w:val="22"/>
        </w:rPr>
        <w:tab/>
        <w:t>"</w:t>
      </w:r>
      <w:r>
        <w:rPr>
          <w:i/>
          <w:sz w:val="22"/>
          <w:u w:val="single"/>
        </w:rPr>
        <w:t>Indemnifiable Tax</w:t>
      </w:r>
      <w:r>
        <w:rPr>
          <w:i/>
          <w:sz w:val="22"/>
        </w:rPr>
        <w:t>"</w:t>
      </w:r>
      <w:r>
        <w:rPr>
          <w:sz w:val="22"/>
        </w:rPr>
        <w:t xml:space="preserve"> shall mean any Tax other than a Tax that would not be imposed in respect of a payment made under the Agreement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(1) being or having been a citizen or resident of, (2) being or having been organized in, (3) being or having been present or engaged in a trade or business in, or (4) having or having had a permanent establishment or fixed place of business in, that jurisdiction; but excluding a connection arising solely from that recipient's or related person's having executed, delivered, enforced, or performed its obligations or received a payment under the Agreement).</w:t>
      </w:r>
    </w:p>
    <w:p>
      <w:pPr>
        <w:pStyle w:val="Normal"/>
        <w:spacing w:lineRule="atLeast" w:line="240"/>
        <w:ind w:hanging="720" w:start="2160" w:end="1440"/>
        <w:jc w:val="both"/>
        <w:rPr>
          <w:sz w:val="22"/>
        </w:rPr>
      </w:pPr>
      <w:r>
        <w:rPr>
          <w:sz w:val="22"/>
        </w:rPr>
      </w:r>
    </w:p>
    <w:p>
      <w:pPr>
        <w:pStyle w:val="Normal"/>
        <w:spacing w:lineRule="atLeast" w:line="240"/>
        <w:ind w:hanging="720" w:start="2160" w:end="1440"/>
        <w:jc w:val="both"/>
        <w:rPr/>
      </w:pPr>
      <w:r>
        <w:rPr>
          <w:sz w:val="22"/>
        </w:rPr>
        <w:t>(ii)</w:t>
        <w:tab/>
      </w:r>
      <w:r>
        <w:rPr>
          <w:i/>
          <w:sz w:val="22"/>
        </w:rPr>
        <w:t>“</w:t>
      </w:r>
      <w:r>
        <w:rPr>
          <w:i/>
          <w:sz w:val="22"/>
          <w:u w:val="single"/>
        </w:rPr>
        <w:t>Stamp Tax</w:t>
      </w:r>
      <w:r>
        <w:rPr>
          <w:i/>
          <w:sz w:val="22"/>
        </w:rPr>
        <w:t>”</w:t>
      </w:r>
      <w:r>
        <w:rPr>
          <w:sz w:val="22"/>
        </w:rPr>
        <w:t xml:space="preserve"> shall mean any stamp, registration, documentation or similar tax.</w:t>
      </w:r>
    </w:p>
    <w:p>
      <w:pPr>
        <w:pStyle w:val="Normal"/>
        <w:ind w:start="720" w:end="720"/>
        <w:jc w:val="both"/>
        <w:rPr>
          <w:sz w:val="22"/>
        </w:rPr>
      </w:pPr>
      <w:r>
        <w:rPr>
          <w:sz w:val="22"/>
        </w:rPr>
      </w:r>
    </w:p>
    <w:p>
      <w:pPr>
        <w:pStyle w:val="Normal"/>
        <w:ind w:hanging="720" w:start="2160" w:end="1440"/>
        <w:jc w:val="both"/>
        <w:rPr/>
      </w:pPr>
      <w:r>
        <w:rPr>
          <w:sz w:val="22"/>
        </w:rPr>
        <w:t>(iii)</w:t>
      </w:r>
      <w:r>
        <w:rPr>
          <w:i/>
          <w:sz w:val="22"/>
        </w:rPr>
        <w:tab/>
        <w:t>"</w:t>
      </w:r>
      <w:r>
        <w:rPr>
          <w:i/>
          <w:sz w:val="22"/>
          <w:u w:val="single"/>
        </w:rPr>
        <w:t>Tax</w:t>
      </w:r>
      <w:r>
        <w:rPr>
          <w:i/>
          <w:sz w:val="22"/>
        </w:rPr>
        <w:t>"</w:t>
      </w:r>
      <w:r>
        <w:rPr>
          <w:sz w:val="22"/>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Agreement, other than a stamp, registration, documentation, or similar tax.</w:t>
      </w:r>
    </w:p>
    <w:p>
      <w:pPr>
        <w:pStyle w:val="Normal"/>
        <w:ind w:start="720" w:end="720"/>
        <w:jc w:val="both"/>
        <w:rPr>
          <w:sz w:val="22"/>
        </w:rPr>
      </w:pPr>
      <w:r>
        <w:rPr>
          <w:sz w:val="22"/>
        </w:rPr>
      </w:r>
    </w:p>
    <w:p>
      <w:pPr>
        <w:pStyle w:val="Normal"/>
        <w:keepNext w:val="true"/>
        <w:keepLines/>
        <w:spacing w:lineRule="atLeast" w:line="240"/>
        <w:jc w:val="both"/>
        <w:rPr>
          <w:sz w:val="22"/>
        </w:rPr>
      </w:pPr>
      <w:r>
        <w:rPr>
          <w:sz w:val="22"/>
        </w:rPr>
        <w:t>4.</w:t>
        <w:tab/>
      </w:r>
      <w:r>
        <w:rPr>
          <w:sz w:val="22"/>
          <w:u w:val="single"/>
        </w:rPr>
        <w:t>Other Representations and Covenants</w:t>
      </w:r>
    </w:p>
    <w:p>
      <w:pPr>
        <w:pStyle w:val="Normal"/>
        <w:keepNext w:val="true"/>
        <w:keepLines/>
        <w:spacing w:lineRule="atLeast" w:line="240"/>
        <w:ind w:start="720" w:end="720"/>
        <w:jc w:val="both"/>
        <w:rPr>
          <w:sz w:val="22"/>
        </w:rPr>
      </w:pPr>
      <w:r>
        <w:rPr>
          <w:sz w:val="22"/>
        </w:rPr>
      </w:r>
    </w:p>
    <w:p>
      <w:pPr>
        <w:pStyle w:val="Normal"/>
        <w:keepNext w:val="true"/>
        <w:keepLines/>
        <w:spacing w:lineRule="atLeast" w:line="240"/>
        <w:ind w:hanging="720" w:start="720" w:end="0"/>
        <w:jc w:val="both"/>
        <w:rPr/>
      </w:pPr>
      <w:r>
        <w:rPr>
          <w:sz w:val="22"/>
        </w:rPr>
        <w:t>(a)</w:t>
        <w:tab/>
        <w:t xml:space="preserve">Each party hereby represents that it is not required by any applicable law, rule, or regulation, as modified by the practice of any relevant governmental revenue authority, of any relevant jurisdiction to make any deduction or withholding for or on account of any Tax from any payment to be made by it to the other party under the Agreement.  In making this representation, such party may rely on (x) the accuracy of any representations made by the other party pursuant to subparagraph 4(b) of this Annex I, Part 1, and (y) the satisfaction of the agreements contained in, and the accuracy and effectiveness of any document provided by the other party pursuant to, subparagraph 6(b)(E) of the Agreement, </w:t>
      </w:r>
      <w:r>
        <w:rPr>
          <w:i/>
          <w:sz w:val="22"/>
        </w:rPr>
        <w:t>provided</w:t>
      </w:r>
      <w:r>
        <w:rPr>
          <w:sz w:val="22"/>
        </w:rPr>
        <w:t xml:space="preserve"> that it shall not be a breach of this representation where the other party does not deliver a form or document under subparagraph 6(b)(E) of the Agreement by reason of material prejudice to its legal or commercial position.</w:t>
      </w:r>
    </w:p>
    <w:p>
      <w:pPr>
        <w:pStyle w:val="Normal"/>
        <w:spacing w:lineRule="atLeast" w:line="240"/>
        <w:ind w:hanging="720" w:start="1440" w:end="720"/>
        <w:jc w:val="both"/>
        <w:rPr>
          <w:sz w:val="22"/>
        </w:rPr>
      </w:pPr>
      <w:r>
        <w:rPr>
          <w:sz w:val="22"/>
        </w:rPr>
      </w:r>
    </w:p>
    <w:p>
      <w:pPr>
        <w:pStyle w:val="Normal"/>
        <w:spacing w:lineRule="atLeast" w:line="240"/>
        <w:ind w:hanging="720" w:start="720" w:end="0"/>
        <w:jc w:val="both"/>
        <w:rPr>
          <w:sz w:val="22"/>
        </w:rPr>
      </w:pPr>
      <w:r>
        <w:rPr>
          <w:sz w:val="22"/>
        </w:rPr>
        <w:t>[(b)</w:t>
        <w:tab/>
        <w:t>Each party represents that 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the Agreement, and no such payment is attributable to a trade or business carried on by it through a permanent establishment in the Specified Jurisdiction.  "Specified Treaty" means the income tax treaty between the United States and ______________, and "Specified Jurisdiction" means (x) with respect to Party B, _______________, and (y) with respect to Party A, the United States.]</w:t>
      </w:r>
    </w:p>
    <w:p>
      <w:pPr>
        <w:pStyle w:val="Normal"/>
        <w:spacing w:lineRule="atLeast" w:line="240"/>
        <w:ind w:firstLine="720" w:end="0"/>
        <w:jc w:val="both"/>
        <w:rPr>
          <w:sz w:val="22"/>
        </w:rPr>
      </w:pPr>
      <w:r>
        <w:rPr>
          <w:sz w:val="22"/>
        </w:rPr>
      </w:r>
    </w:p>
    <w:p>
      <w:pPr>
        <w:pStyle w:val="Normal"/>
        <w:ind w:hanging="720" w:start="720" w:end="0"/>
        <w:jc w:val="both"/>
        <w:rPr>
          <w:sz w:val="22"/>
        </w:rPr>
      </w:pPr>
      <w:r>
        <w:rPr>
          <w:sz w:val="22"/>
        </w:rPr>
        <w:t>(c)</w:t>
        <w:tab/>
        <w:t>Party A represents that it is a _____________ organized under the law of ____________.</w:t>
      </w:r>
    </w:p>
    <w:p>
      <w:pPr>
        <w:pStyle w:val="Normal"/>
        <w:spacing w:lineRule="atLeast" w:line="240"/>
        <w:jc w:val="both"/>
        <w:rPr>
          <w:sz w:val="22"/>
        </w:rPr>
      </w:pPr>
      <w:r>
        <w:rPr>
          <w:sz w:val="22"/>
        </w:rPr>
      </w:r>
    </w:p>
    <w:p>
      <w:pPr>
        <w:pStyle w:val="Normal"/>
        <w:spacing w:lineRule="atLeast" w:line="240"/>
        <w:ind w:hanging="720" w:start="720" w:end="0"/>
        <w:jc w:val="both"/>
        <w:rPr>
          <w:sz w:val="22"/>
        </w:rPr>
      </w:pPr>
      <w:r>
        <w:rPr>
          <w:sz w:val="22"/>
        </w:rPr>
        <w:t>(d)</w:t>
        <w:tab/>
        <w:t>Party B represents that it is a corporation organized under the law of the State of Delaware.</w:t>
      </w:r>
    </w:p>
    <w:p>
      <w:pPr>
        <w:pStyle w:val="Heading2"/>
        <w:spacing w:lineRule="atLeast" w:line="240" w:before="0" w:after="0"/>
        <w:rPr>
          <w:sz w:val="22"/>
        </w:rPr>
      </w:pPr>
      <w:r>
        <w:rPr>
          <w:sz w:val="22"/>
        </w:rPr>
      </w:r>
    </w:p>
    <w:p>
      <w:pPr>
        <w:pStyle w:val="BlockText"/>
        <w:rPr/>
      </w:pPr>
      <w:r>
        <w:rPr/>
        <w:t>(e)</w:t>
        <w:tab/>
        <w:t>Each party agrees with the other that, so long as either party has or may have any obligation under this Agreement or under any Credit Support Document to which it is a party, it will deliver to the other party or, in certain cases under subparagraph (iii) below, to such government or taxing authority as the other party reasonably directs:</w:t>
      </w:r>
    </w:p>
    <w:p>
      <w:pPr>
        <w:pStyle w:val="Normal"/>
        <w:ind w:hanging="720" w:start="1440" w:end="720"/>
        <w:jc w:val="both"/>
        <w:rPr>
          <w:sz w:val="22"/>
        </w:rPr>
      </w:pPr>
      <w:r>
        <w:rPr>
          <w:sz w:val="22"/>
        </w:rPr>
      </w:r>
    </w:p>
    <w:p>
      <w:pPr>
        <w:pStyle w:val="Normal"/>
        <w:ind w:start="1440" w:end="1440"/>
        <w:jc w:val="both"/>
        <w:rPr>
          <w:sz w:val="22"/>
        </w:rPr>
      </w:pPr>
      <w:r>
        <w:rPr>
          <w:sz w:val="22"/>
        </w:rPr>
        <w:t>(i)</w:t>
        <w:tab/>
        <w:t>any forms, documents or certificates relating to taxation specified herein or in any Confirmation;</w:t>
      </w:r>
    </w:p>
    <w:p>
      <w:pPr>
        <w:pStyle w:val="Normal"/>
        <w:ind w:hanging="720" w:start="2160" w:end="1440"/>
        <w:jc w:val="both"/>
        <w:rPr>
          <w:sz w:val="22"/>
        </w:rPr>
      </w:pPr>
      <w:r>
        <w:rPr>
          <w:sz w:val="22"/>
        </w:rPr>
      </w:r>
    </w:p>
    <w:p>
      <w:pPr>
        <w:pStyle w:val="Normal"/>
        <w:ind w:start="1440" w:end="1440"/>
        <w:jc w:val="both"/>
        <w:rPr>
          <w:sz w:val="22"/>
        </w:rPr>
      </w:pPr>
      <w:r>
        <w:rPr>
          <w:sz w:val="22"/>
        </w:rPr>
        <w:t>(ii)</w:t>
        <w:tab/>
        <w:t>any other documents specified in the Schedule or any Confirmation; and</w:t>
      </w:r>
    </w:p>
    <w:p>
      <w:pPr>
        <w:pStyle w:val="Normal"/>
        <w:ind w:hanging="720" w:start="2160" w:end="1440"/>
        <w:jc w:val="both"/>
        <w:rPr>
          <w:sz w:val="22"/>
        </w:rPr>
      </w:pPr>
      <w:r>
        <w:rPr>
          <w:sz w:val="22"/>
        </w:rPr>
      </w:r>
    </w:p>
    <w:p>
      <w:pPr>
        <w:pStyle w:val="Normal"/>
        <w:ind w:start="1440" w:end="1440"/>
        <w:jc w:val="both"/>
        <w:rPr>
          <w:sz w:val="22"/>
        </w:rPr>
      </w:pPr>
      <w:r>
        <w:rPr>
          <w:sz w:val="22"/>
        </w:rPr>
        <w:t>(iii)</w:t>
        <w:tab/>
        <w:t>upon reasonable demand by such other party, any form or document that may be required or reasonably requested in writing in order to allow such other party or its Credit Support Provider to make a payment under this Agreement or any applicable Credit Support Document without any deduction or withholding for or on account of any taxes or duties whatsoever or with such deduction or withholding at a reduced rate (so long as the completion, execution or submission of such form or document would not materially prejudice the legal or commercial position of the party in receipt of such demand), with any such form or document to be accurate and completed in a manner reasonably satisfactory to such other party and to be executed and to be delivered with any reasonably required certification,</w:t>
      </w:r>
    </w:p>
    <w:p>
      <w:pPr>
        <w:pStyle w:val="Normal"/>
        <w:ind w:start="1440" w:end="1440"/>
        <w:jc w:val="both"/>
        <w:rPr>
          <w:sz w:val="22"/>
        </w:rPr>
      </w:pPr>
      <w:r>
        <w:rPr>
          <w:sz w:val="22"/>
        </w:rPr>
      </w:r>
    </w:p>
    <w:p>
      <w:pPr>
        <w:pStyle w:val="Normal"/>
        <w:ind w:start="720" w:end="720"/>
        <w:jc w:val="both"/>
        <w:rPr>
          <w:sz w:val="22"/>
        </w:rPr>
      </w:pPr>
      <w:r>
        <w:rPr>
          <w:sz w:val="22"/>
        </w:rPr>
        <w:t>in each case by the date specified herein or in such Confirmation or, if none is specified, as soon as reasonably practicable.</w:t>
      </w:r>
    </w:p>
    <w:p>
      <w:pPr>
        <w:pStyle w:val="Normal"/>
        <w:jc w:val="both"/>
        <w:rPr>
          <w:sz w:val="22"/>
        </w:rPr>
      </w:pPr>
      <w:r>
        <w:rPr>
          <w:sz w:val="22"/>
        </w:rPr>
      </w:r>
    </w:p>
    <w:p>
      <w:pPr>
        <w:pStyle w:val="Heading2"/>
        <w:spacing w:lineRule="atLeast" w:line="240" w:before="0" w:after="0"/>
        <w:ind w:hanging="720" w:start="720" w:end="0"/>
        <w:rPr/>
      </w:pPr>
      <w:r>
        <w:rPr>
          <w:sz w:val="22"/>
        </w:rPr>
        <w:t>(f)</w:t>
        <w:tab/>
      </w:r>
      <w:r>
        <w:rPr>
          <w:sz w:val="22"/>
          <w:u w:val="single"/>
        </w:rPr>
        <w:t>Stamp Tax, etc.</w:t>
      </w:r>
      <w:r>
        <w:rPr>
          <w:sz w:val="22"/>
        </w:rPr>
        <w:t xml:space="preserve">  (a) Subject to the provisions on default, each party shall pay any Stamp Tax levied or imposed upon it or in respect of its execution or performance of the Agreement by a jurisdiction in which it is incorporated, organized, managed and controlled, or considered to have its seat or in which a branch or office through which it is acting for purposes of the Agreement is located (“Stamp Tax Jurisdiction”) and will indemnify the other party against any Stamp Tax levied or imposed upon the other party or in respect of the other party’s execution or performance of this Agreement by any such Stamp Tax Jurisdiction which is not also a Stamp Tax Jurisdiction with respect to the other party.</w:t>
      </w:r>
    </w:p>
    <w:p>
      <w:pPr>
        <w:pStyle w:val="Heading2"/>
        <w:spacing w:lineRule="atLeast" w:line="240" w:before="0" w:after="0"/>
        <w:ind w:hanging="720" w:start="720" w:end="0"/>
        <w:rPr>
          <w:sz w:val="22"/>
        </w:rPr>
      </w:pPr>
      <w:r>
        <w:rPr>
          <w:sz w:val="22"/>
        </w:rPr>
      </w:r>
    </w:p>
    <w:p>
      <w:pPr>
        <w:pStyle w:val="Normal"/>
        <w:spacing w:lineRule="atLeast" w:line="240"/>
        <w:ind w:start="720" w:end="0"/>
        <w:jc w:val="both"/>
        <w:rPr>
          <w:sz w:val="22"/>
        </w:rPr>
      </w:pPr>
      <w:r>
        <w:rPr>
          <w:sz w:val="22"/>
        </w:rPr>
        <w:t>(b)  Stamp Taxes with respect to the transfer of Securities shall be paid by the Seller.</w:t>
      </w:r>
    </w:p>
    <w:p>
      <w:pPr>
        <w:pStyle w:val="Normal"/>
        <w:spacing w:lineRule="atLeast" w:line="240"/>
        <w:ind w:start="720" w:end="0"/>
        <w:jc w:val="both"/>
        <w:rPr>
          <w:sz w:val="22"/>
        </w:rPr>
      </w:pPr>
      <w:r>
        <w:rPr>
          <w:sz w:val="22"/>
        </w:rPr>
      </w:r>
    </w:p>
    <w:p>
      <w:pPr>
        <w:pStyle w:val="Normal"/>
        <w:spacing w:lineRule="exact" w:line="240"/>
        <w:ind w:hanging="720" w:start="720" w:end="0"/>
        <w:jc w:val="both"/>
        <w:rPr/>
      </w:pPr>
      <w:r>
        <w:rPr>
          <w:sz w:val="22"/>
        </w:rPr>
        <w:t>(g)</w:t>
        <w:tab/>
      </w:r>
      <w:r>
        <w:rPr>
          <w:sz w:val="22"/>
          <w:u w:val="single"/>
        </w:rPr>
        <w:t>Non-assignability</w:t>
      </w:r>
      <w:r>
        <w:rPr>
          <w:b/>
          <w:sz w:val="22"/>
        </w:rPr>
        <w:t>.</w:t>
      </w:r>
      <w:r>
        <w:rPr>
          <w:sz w:val="22"/>
        </w:rPr>
        <w:t xml:space="preserve">  Subparagraph 16(a) of the Agreement is hereby amended by:  (i) adding in the third line thereof after the words “other party,” the following:</w:t>
      </w:r>
    </w:p>
    <w:p>
      <w:pPr>
        <w:pStyle w:val="Normal"/>
        <w:spacing w:lineRule="exact" w:line="240"/>
        <w:ind w:hanging="720" w:start="720" w:end="0"/>
        <w:jc w:val="both"/>
        <w:rPr>
          <w:sz w:val="22"/>
        </w:rPr>
      </w:pPr>
      <w:r>
        <w:rPr>
          <w:sz w:val="22"/>
        </w:rPr>
      </w:r>
    </w:p>
    <w:p>
      <w:pPr>
        <w:pStyle w:val="Normal"/>
        <w:spacing w:lineRule="exact" w:line="240"/>
        <w:ind w:hanging="720" w:start="720" w:end="0"/>
        <w:jc w:val="both"/>
        <w:rPr>
          <w:sz w:val="22"/>
        </w:rPr>
      </w:pPr>
      <w:r>
        <w:rPr>
          <w:sz w:val="22"/>
        </w:rPr>
        <w:tab/>
        <w:t>“(which consent will not be unreasonably withheld or delayed).  For purposes of this subparagraph, the non-transferring party’s withholding of consent to a proposed transfer will not be deemed to be unreasonable if, without limitation:  an Event of Default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does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t>
      </w:r>
    </w:p>
    <w:p>
      <w:pPr>
        <w:pStyle w:val="Normal"/>
        <w:jc w:val="both"/>
        <w:rPr>
          <w:sz w:val="22"/>
        </w:rPr>
      </w:pPr>
      <w:r>
        <w:rPr>
          <w:sz w:val="22"/>
        </w:rPr>
      </w:r>
    </w:p>
    <w:p>
      <w:pPr>
        <w:pStyle w:val="Normal"/>
        <w:jc w:val="both"/>
        <w:rPr/>
      </w:pPr>
      <w:r>
        <w:rPr>
          <w:sz w:val="22"/>
        </w:rPr>
        <w:t>5.</w:t>
        <w:tab/>
      </w:r>
      <w:r>
        <w:rPr>
          <w:sz w:val="22"/>
          <w:u w:val="single"/>
        </w:rPr>
        <w:t>Miscellaneous</w:t>
      </w:r>
      <w:r>
        <w:rPr>
          <w:sz w:val="22"/>
        </w:rPr>
        <w:t>.</w:t>
      </w:r>
    </w:p>
    <w:p>
      <w:pPr>
        <w:pStyle w:val="Normal"/>
        <w:jc w:val="both"/>
        <w:rPr>
          <w:sz w:val="22"/>
        </w:rPr>
      </w:pPr>
      <w:r>
        <w:rPr>
          <w:sz w:val="22"/>
        </w:rPr>
      </w:r>
    </w:p>
    <w:p>
      <w:pPr>
        <w:pStyle w:val="Normal"/>
        <w:ind w:hanging="720" w:start="720" w:end="0"/>
        <w:jc w:val="both"/>
        <w:rPr>
          <w:sz w:val="22"/>
        </w:rPr>
      </w:pPr>
      <w:r>
        <w:rPr>
          <w:sz w:val="22"/>
        </w:rPr>
        <w:t>(a)</w:t>
        <w:tab/>
        <w:t>Each party hereby agrees to deliver the following documents at the execution of this Agreement:</w:t>
      </w:r>
    </w:p>
    <w:p>
      <w:pPr>
        <w:pStyle w:val="Normal"/>
        <w:spacing w:lineRule="atLeast" w:line="240" w:before="120" w:after="0"/>
        <w:ind w:hanging="720" w:start="1440" w:end="720"/>
        <w:jc w:val="both"/>
        <w:rPr>
          <w:sz w:val="22"/>
        </w:rPr>
      </w:pPr>
      <w:r>
        <w:rPr>
          <w:sz w:val="22"/>
        </w:rPr>
        <w:t>(i)</w:t>
        <w:tab/>
        <w:t>certified incumbency certificate or other evidence of authority and specimen signatures with respect to each party, its Credit Support Provider (if any), and its respective signatories executing this Agreement or any Credit Support Document on its behalf; and</w:t>
      </w:r>
    </w:p>
    <w:p>
      <w:pPr>
        <w:pStyle w:val="Normal"/>
        <w:spacing w:lineRule="atLeast" w:line="240" w:before="120" w:after="0"/>
        <w:ind w:hanging="720" w:start="1440" w:end="720"/>
        <w:jc w:val="both"/>
        <w:rPr>
          <w:sz w:val="22"/>
        </w:rPr>
      </w:pPr>
      <w:r>
        <w:rPr>
          <w:sz w:val="22"/>
        </w:rPr>
        <w:t>(ii)</w:t>
        <w:tab/>
        <w:t>a Secretary's or Assistant Secretary's Certificate (i) certifying resolutions of each party's and its Credit Support Provider’s (if any) board of directors or other governing body authorizing this Agreement and the Transactions contemplated hereby (or the Credit Support Document, as the case may be) and (b) copies of each party’s and its Credit Support Provider’s (if any) Articles of Incorporation and Bylaws (or constituent documents) and (ii) authorizing a specified person or persons to execute and deliver (as appropriate) on its behalf this Agreement or the Credit Support Document, as the case may be, the annexes, schedules, and attachments hereto or thereto, and the documents incorporated by reference herein or therein.</w:t>
      </w:r>
    </w:p>
    <w:p>
      <w:pPr>
        <w:pStyle w:val="Normal"/>
        <w:jc w:val="both"/>
        <w:rPr>
          <w:sz w:val="22"/>
        </w:rPr>
      </w:pPr>
      <w:r>
        <w:rPr>
          <w:sz w:val="22"/>
        </w:rPr>
      </w:r>
    </w:p>
    <w:p>
      <w:pPr>
        <w:pStyle w:val="Normal"/>
        <w:jc w:val="both"/>
        <w:rPr>
          <w:sz w:val="22"/>
        </w:rPr>
      </w:pPr>
      <w:r>
        <w:rPr>
          <w:sz w:val="22"/>
        </w:rPr>
        <w:tab/>
      </w:r>
    </w:p>
    <w:p>
      <w:pPr>
        <w:pStyle w:val="Normal"/>
        <w:spacing w:lineRule="exact" w:line="240"/>
        <w:ind w:hanging="720" w:start="720" w:end="0"/>
        <w:jc w:val="both"/>
        <w:rPr/>
      </w:pPr>
      <w:r>
        <w:rPr>
          <w:sz w:val="22"/>
        </w:rPr>
        <w:t>(b)</w:t>
        <w:tab/>
        <w:t xml:space="preserve">Setoff.  (A) Without affecting or prejudicing the provisions of this Agreement requiring the calculation and payment of certain net payment amounts, all payments will be made without setoff or counterclaim; </w:t>
      </w:r>
      <w:r>
        <w:rPr>
          <w:i/>
          <w:sz w:val="22"/>
        </w:rPr>
        <w:t>provided, however,</w:t>
      </w:r>
      <w:r>
        <w:rPr>
          <w:sz w:val="22"/>
        </w:rPr>
        <w:t xml:space="preserve"> that upon the designation or deemed designation of an Event of Default, in addition to and not in limitation of any other right or remedy (including any right to setoff, counterclaim, or otherwise withhold payment) under applicable law, the non-defaulting party ("X") may, at its option and in its discretion, setoff, against any amounts owed to the defaulting party ("Y") in Dollars or any other currency by X or any Affiliates of X under this Agreement or otherwise, any amounts owed in Dollars or any other currency by Y to X or any Affiliates of X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at the applicable prevailing exchange rate into the Contractual Currency.  X will give Y notice of any setoff effected under this section as soon as practicable after the setoff is effected provided that failure to give such notice shall not affect the validity of the setoff.  Nothing in this provision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2"/>
        </w:rPr>
      </w:pPr>
      <w:r>
        <w:rPr>
          <w:sz w:val="22"/>
        </w:rPr>
      </w:r>
    </w:p>
    <w:p>
      <w:pPr>
        <w:pStyle w:val="Normal"/>
        <w:ind w:start="720" w:end="0"/>
        <w:jc w:val="both"/>
        <w:rPr>
          <w:sz w:val="22"/>
        </w:rPr>
      </w:pPr>
      <w:r>
        <w:rPr>
          <w:sz w:val="22"/>
        </w:rPr>
        <w:t>(B)</w:t>
        <w:tab/>
        <w:t>Notwithstanding any provision to the contrary contained in this Agreement, X shall not be required to pay to Y any amount until all amounts due and payable at such date by Y have been fully and finally paid, and (2) all other obligations of any kind whatsoever of Y to make any payments to X or any of its Affiliates under this Agreement or otherwise which are due and payable as of such date have been fully and finally performed.</w:t>
      </w:r>
    </w:p>
    <w:p>
      <w:pPr>
        <w:pStyle w:val="Normal"/>
        <w:jc w:val="both"/>
        <w:rPr>
          <w:sz w:val="22"/>
        </w:rPr>
      </w:pPr>
      <w:r>
        <w:rPr>
          <w:sz w:val="22"/>
        </w:rPr>
      </w:r>
    </w:p>
    <w:p>
      <w:pPr>
        <w:pStyle w:val="Normal"/>
        <w:ind w:start="720" w:end="0"/>
        <w:jc w:val="both"/>
        <w:rPr>
          <w:sz w:val="22"/>
        </w:rPr>
      </w:pPr>
      <w:r>
        <w:rPr>
          <w:sz w:val="22"/>
        </w:rPr>
        <w:t>(C)</w:t>
        <w:tab/>
        <w:t>“Affiliate” means,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Normal"/>
        <w:ind w:start="720" w:end="0"/>
        <w:jc w:val="both"/>
        <w:rPr>
          <w:sz w:val="22"/>
        </w:rPr>
      </w:pPr>
      <w:r>
        <w:rPr>
          <w:sz w:val="22"/>
        </w:rPr>
      </w:r>
    </w:p>
    <w:p>
      <w:pPr>
        <w:pStyle w:val="Normal"/>
        <w:numPr>
          <w:ilvl w:val="0"/>
          <w:numId w:val="2"/>
        </w:numPr>
        <w:spacing w:lineRule="exact" w:line="240"/>
        <w:jc w:val="both"/>
        <w:rPr>
          <w:sz w:val="22"/>
        </w:rPr>
      </w:pPr>
      <w:r>
        <w:rPr>
          <w:sz w:val="22"/>
          <w:u w:val="single"/>
        </w:rPr>
        <w:t>Confidentiality</w:t>
      </w:r>
      <w:r>
        <w:rPr>
          <w:sz w:val="22"/>
        </w:rPr>
        <w:t>.  The contents of this Agreement and all other documents relating to this Agreement, and any information made available by one party to the other party with respect to this Agreement or any Transaction hereunder are confidential and shall not be disclosed to any third party (nor shall any public announcement or press release relating to this Agreement or any Transaction hereunder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other party in making such disclosure, or (iv) as may be furnished to that party's auditors, attorneys or advisors which are required to keep the information that is disclosed in confidence.</w:t>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p>
      <w:pPr>
        <w:pStyle w:val="Normal"/>
        <w:jc w:val="both"/>
        <w:rPr>
          <w:sz w:val="22"/>
          <w:u w:val="single"/>
        </w:rPr>
      </w:pPr>
      <w:r>
        <w:rPr>
          <w:sz w:val="22"/>
          <w:u w:val="single"/>
        </w:rPr>
      </w:r>
    </w:p>
    <w:p>
      <w:pPr>
        <w:pStyle w:val="Normal"/>
        <w:spacing w:lineRule="exact" w:line="240"/>
        <w:jc w:val="both"/>
        <w:rPr>
          <w:b/>
          <w:sz w:val="22"/>
        </w:rPr>
      </w:pPr>
      <w:r>
        <w:rPr>
          <w:b/>
          <w:sz w:val="22"/>
        </w:rPr>
        <w:t>(d)</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PARAGRAPH 11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jc w:val="both"/>
        <w:rPr>
          <w:sz w:val="22"/>
        </w:rPr>
      </w:pPr>
      <w:r>
        <w:rPr>
          <w:sz w:val="22"/>
        </w:rPr>
        <w:tab/>
      </w:r>
    </w:p>
    <w:p>
      <w:pPr>
        <w:pStyle w:val="Normal"/>
        <w:jc w:val="both"/>
        <w:rPr/>
      </w:pPr>
      <w:r>
        <w:rPr>
          <w:sz w:val="22"/>
        </w:rPr>
        <w:t>[(e)</w:t>
        <w:tab/>
      </w:r>
      <w:r>
        <w:rPr>
          <w:sz w:val="22"/>
          <w:u w:val="single"/>
        </w:rPr>
        <w:t>Arbitration</w:t>
      </w:r>
      <w:r>
        <w:rPr>
          <w:sz w:val="22"/>
        </w:rPr>
        <w:t xml:space="preserve">.  </w:t>
      </w:r>
    </w:p>
    <w:p>
      <w:pPr>
        <w:pStyle w:val="Normal"/>
        <w:jc w:val="both"/>
        <w:rPr>
          <w:sz w:val="22"/>
        </w:rPr>
      </w:pPr>
      <w:r>
        <w:rPr>
          <w:sz w:val="22"/>
        </w:rPr>
      </w:r>
    </w:p>
    <w:p>
      <w:pPr>
        <w:pStyle w:val="Normal"/>
        <w:ind w:hanging="720" w:start="2160" w:end="1440"/>
        <w:jc w:val="both"/>
        <w:rPr/>
      </w:pPr>
      <w:r>
        <w:rPr>
          <w:sz w:val="22"/>
        </w:rPr>
        <w:t>(i)</w:t>
        <w:tab/>
      </w:r>
      <w:r>
        <w:rPr>
          <w:sz w:val="22"/>
          <w:u w:val="single"/>
        </w:rPr>
        <w:t>Agreement To Arbitrate</w:t>
      </w:r>
      <w:r>
        <w:rPr>
          <w:b/>
          <w:sz w:val="22"/>
        </w:rPr>
        <w:t>:</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hanging="720" w:start="2160" w:end="1440"/>
        <w:jc w:val="both"/>
        <w:rPr/>
      </w:pPr>
      <w:r>
        <w:rPr>
          <w:sz w:val="22"/>
        </w:rPr>
        <w:t>(ii)</w:t>
        <w:tab/>
      </w:r>
      <w:r>
        <w:rPr>
          <w:sz w:val="22"/>
          <w:u w:val="single"/>
        </w:rPr>
        <w:t>Conduct Of The Arbitration, And Authority Of The Arbitrators</w:t>
      </w:r>
      <w:r>
        <w:rPr>
          <w:b/>
          <w:sz w:val="22"/>
        </w:rPr>
        <w:t>:</w:t>
      </w:r>
      <w:r>
        <w:rPr>
          <w:sz w:val="22"/>
        </w:rPr>
        <w:t xml:space="preserve"> </w:t>
      </w:r>
      <w:r>
        <w:rPr>
          <w:i/>
          <w:sz w:val="22"/>
        </w:rPr>
        <w:t xml:space="preserve"> </w:t>
      </w:r>
      <w:r>
        <w:rPr>
          <w:sz w:val="22"/>
        </w:rPr>
        <w:t>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hanging="720" w:start="2160" w:end="1440"/>
        <w:jc w:val="both"/>
        <w:rPr/>
      </w:pPr>
      <w:r>
        <w:rPr>
          <w:sz w:val="22"/>
        </w:rPr>
        <w:t>(iii)</w:t>
        <w:tab/>
      </w:r>
      <w:r>
        <w:rPr>
          <w:sz w:val="22"/>
          <w:u w:val="single"/>
        </w:rPr>
        <w:t>Forum For The Arbitration And Selection Of Arbitrators</w:t>
      </w:r>
      <w:r>
        <w:rPr>
          <w:b/>
          <w:sz w:val="22"/>
        </w:rPr>
        <w:t>:</w:t>
      </w:r>
      <w:r>
        <w:rPr>
          <w:sz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hanging="720" w:start="2160" w:end="1440"/>
        <w:jc w:val="both"/>
        <w:rPr/>
      </w:pPr>
      <w:r>
        <w:rPr>
          <w:sz w:val="22"/>
        </w:rPr>
        <w:t>(iv)</w:t>
        <w:tab/>
      </w:r>
      <w:r>
        <w:rPr>
          <w:sz w:val="22"/>
          <w:u w:val="single"/>
        </w:rPr>
        <w:t>Confidentiality</w:t>
      </w:r>
      <w:r>
        <w:rPr>
          <w:b/>
          <w:sz w:val="22"/>
        </w:rPr>
        <w:t>:</w:t>
      </w:r>
      <w:r>
        <w:rPr>
          <w:sz w:val="22"/>
        </w:rPr>
        <w:t xml:space="preserve">  To the fullest extent permitted by law, any arbitration proceeding and the arbitrators award shall be maintained in confidence by the parties.]</w:t>
      </w:r>
    </w:p>
    <w:p>
      <w:pPr>
        <w:pStyle w:val="Normal"/>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sectPr>
          <w:footerReference w:type="default" r:id="rId2"/>
          <w:type w:val="nextPage"/>
          <w:pgSz w:w="12240" w:h="15840"/>
          <w:pgMar w:left="1296" w:right="1296" w:gutter="0" w:header="0" w:top="1296" w:footer="720" w:bottom="1296"/>
          <w:pgNumType w:start="1" w:fmt="decimal"/>
          <w:formProt w:val="false"/>
          <w:textDirection w:val="lrTb"/>
          <w:docGrid w:type="default" w:linePitch="360" w:charSpace="0"/>
        </w:sectPr>
        <w:pStyle w:val="Normal"/>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b/>
          <w:sz w:val="22"/>
          <w:u w:val="single"/>
        </w:rPr>
        <w:t>Annex V</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ab/>
        <w:tab/>
      </w:r>
      <w:r>
        <w:rPr>
          <w:sz w:val="22"/>
          <w:u w:val="single"/>
        </w:rPr>
        <w:t>Address</w:t>
      </w:r>
      <w:r>
        <w:rPr>
          <w:sz w:val="22"/>
        </w:rPr>
        <w:t>:</w:t>
      </w:r>
    </w:p>
    <w:p>
      <w:pPr>
        <w:pStyle w:val="Normal"/>
        <w:jc w:val="both"/>
        <w:rPr>
          <w:sz w:val="22"/>
        </w:rPr>
      </w:pPr>
      <w:r>
        <w:rPr>
          <w:sz w:val="22"/>
        </w:rPr>
      </w:r>
    </w:p>
    <w:p>
      <w:pPr>
        <w:pStyle w:val="Normal"/>
        <w:jc w:val="both"/>
        <w:rPr>
          <w:sz w:val="22"/>
        </w:rPr>
      </w:pPr>
      <w:r>
        <w:rPr>
          <w:sz w:val="22"/>
        </w:rPr>
        <w:tab/>
        <w:tab/>
        <w:t>Enron Capital &amp; Trade Resources Corp.</w:t>
      </w:r>
    </w:p>
    <w:p>
      <w:pPr>
        <w:pStyle w:val="Normal"/>
        <w:jc w:val="both"/>
        <w:rPr>
          <w:sz w:val="22"/>
        </w:rPr>
      </w:pPr>
      <w:r>
        <w:rPr>
          <w:sz w:val="22"/>
        </w:rPr>
        <w:tab/>
        <w:tab/>
        <w:t>1400 Smith St. #3007B</w:t>
      </w:r>
    </w:p>
    <w:p>
      <w:pPr>
        <w:pStyle w:val="Normal"/>
        <w:jc w:val="both"/>
        <w:rPr>
          <w:sz w:val="22"/>
        </w:rPr>
      </w:pPr>
      <w:r>
        <w:rPr>
          <w:sz w:val="22"/>
        </w:rPr>
        <w:tab/>
        <w:tab/>
        <w:t>Houston, Texas  77002-3761</w:t>
      </w:r>
    </w:p>
    <w:p>
      <w:pPr>
        <w:pStyle w:val="Normal"/>
        <w:jc w:val="both"/>
        <w:rPr>
          <w:sz w:val="22"/>
        </w:rPr>
      </w:pPr>
      <w:r>
        <w:rPr>
          <w:sz w:val="22"/>
        </w:rPr>
      </w:r>
    </w:p>
    <w:p>
      <w:pPr>
        <w:pStyle w:val="Normal"/>
        <w:jc w:val="both"/>
        <w:rPr>
          <w:sz w:val="22"/>
        </w:rPr>
      </w:pPr>
      <w:r>
        <w:rPr>
          <w:sz w:val="22"/>
        </w:rPr>
        <w:tab/>
        <w:tab/>
      </w:r>
      <w:r>
        <w:rPr>
          <w:sz w:val="22"/>
          <w:u w:val="single"/>
        </w:rPr>
        <w:t>Gilts and Other Securities:</w:t>
      </w:r>
    </w:p>
    <w:p>
      <w:pPr>
        <w:pStyle w:val="Normal"/>
        <w:jc w:val="both"/>
        <w:rPr>
          <w:sz w:val="22"/>
        </w:rPr>
      </w:pPr>
      <w:r>
        <w:rPr>
          <w:sz w:val="22"/>
        </w:rPr>
      </w:r>
    </w:p>
    <w:p>
      <w:pPr>
        <w:pStyle w:val="Normal"/>
        <w:jc w:val="both"/>
        <w:rPr>
          <w:sz w:val="22"/>
        </w:rPr>
      </w:pPr>
      <w:r>
        <w:rPr>
          <w:sz w:val="22"/>
        </w:rPr>
        <w:tab/>
        <w:tab/>
        <w:t>Attention:  Director, Documentation</w:t>
      </w:r>
    </w:p>
    <w:p>
      <w:pPr>
        <w:pStyle w:val="Normal"/>
        <w:jc w:val="both"/>
        <w:rPr>
          <w:sz w:val="22"/>
        </w:rPr>
      </w:pPr>
      <w:r>
        <w:rPr>
          <w:sz w:val="22"/>
        </w:rPr>
        <w:tab/>
        <w:tab/>
        <w:tab/>
        <w:t xml:space="preserve">     Department</w:t>
      </w:r>
    </w:p>
    <w:p>
      <w:pPr>
        <w:pStyle w:val="Normal"/>
        <w:jc w:val="both"/>
        <w:rPr>
          <w:sz w:val="22"/>
        </w:rPr>
      </w:pPr>
      <w:r>
        <w:rPr>
          <w:sz w:val="22"/>
        </w:rPr>
        <w:tab/>
        <w:tab/>
        <w:t>Telex No.:  765443</w:t>
      </w:r>
    </w:p>
    <w:p>
      <w:pPr>
        <w:pStyle w:val="Normal"/>
        <w:jc w:val="both"/>
        <w:rPr>
          <w:sz w:val="22"/>
        </w:rPr>
      </w:pPr>
      <w:r>
        <w:rPr>
          <w:sz w:val="22"/>
        </w:rPr>
        <w:tab/>
        <w:tab/>
        <w:t>Answerback:  ENRONCORP</w:t>
      </w:r>
    </w:p>
    <w:p>
      <w:pPr>
        <w:pStyle w:val="Normal"/>
        <w:jc w:val="both"/>
        <w:rPr>
          <w:sz w:val="22"/>
          <w:u w:val="single"/>
        </w:rPr>
      </w:pPr>
      <w:r>
        <w:rPr>
          <w:sz w:val="22"/>
        </w:rPr>
        <w:tab/>
        <w:tab/>
        <w:t>Facsimile No.:  (713) 646-4816</w:t>
      </w:r>
    </w:p>
    <w:p>
      <w:pPr>
        <w:pStyle w:val="Normal"/>
        <w:jc w:val="both"/>
        <w:rPr>
          <w:sz w:val="22"/>
        </w:rPr>
      </w:pPr>
      <w:r>
        <w:rPr>
          <w:sz w:val="22"/>
        </w:rPr>
        <w:tab/>
        <w:tab/>
        <w:t>Telephone No.:  (713) 853-3300</w:t>
      </w:r>
    </w:p>
    <w:p>
      <w:pPr>
        <w:pStyle w:val="Normal"/>
        <w:jc w:val="both"/>
        <w:rPr>
          <w:sz w:val="22"/>
        </w:rPr>
      </w:pPr>
      <w:r>
        <w:rPr>
          <w:sz w:val="22"/>
        </w:rPr>
      </w:r>
    </w:p>
    <w:p>
      <w:pPr>
        <w:pStyle w:val="Normal"/>
        <w:jc w:val="both"/>
        <w:rPr>
          <w:sz w:val="22"/>
        </w:rPr>
      </w:pPr>
      <w:r>
        <w:rPr>
          <w:sz w:val="22"/>
        </w:rPr>
        <w:t>A copy of any notice sent to Party B pursuant to Paragraph 10 and 11 of the Agreement must also be sent to (i) Enron Capital &amp; Trade Resources Corp., Attention:  Corporate Secretary at the above address and facsimile no. and (ii) Enron Capital &amp; Trade Resources Corp., Attention:  Assistant General Counsel, Trading Group at the above address and facsimile No. (713) 646-4818.</w:t>
      </w:r>
    </w:p>
    <w:p>
      <w:pPr>
        <w:sectPr>
          <w:headerReference w:type="default" r:id="rId3"/>
          <w:footerReference w:type="default" r:id="rId4"/>
          <w:footerReference w:type="first" r:id="rId5"/>
          <w:type w:val="nextPage"/>
          <w:pgSz w:w="12240" w:h="15840"/>
          <w:pgMar w:left="1296" w:right="1296" w:gutter="0" w:header="720" w:top="1296" w:footer="720" w:bottom="1296"/>
          <w:pgNumType w:fmt="decimal"/>
          <w:formProt w:val="false"/>
          <w:textDirection w:val="lrTb"/>
          <w:docGrid w:type="default" w:linePitch="360" w:charSpace="0"/>
        </w:sect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b/>
          <w:sz w:val="22"/>
          <w:u w:val="single"/>
        </w:rPr>
        <w:t>ANNEX VII</w:t>
      </w:r>
    </w:p>
    <w:p>
      <w:pPr>
        <w:pStyle w:val="Normal"/>
        <w:jc w:val="both"/>
        <w:rPr>
          <w:sz w:val="22"/>
        </w:rPr>
      </w:pPr>
      <w:r>
        <w:rPr>
          <w:sz w:val="22"/>
        </w:rPr>
      </w:r>
    </w:p>
    <w:p>
      <w:pPr>
        <w:pStyle w:val="Normal"/>
        <w:jc w:val="both"/>
        <w:rPr>
          <w:sz w:val="22"/>
        </w:rPr>
      </w:pPr>
      <w:r>
        <w:rPr>
          <w:sz w:val="22"/>
        </w:rPr>
      </w:r>
    </w:p>
    <w:p>
      <w:pPr>
        <w:pStyle w:val="Normal"/>
        <w:spacing w:before="120" w:after="0"/>
        <w:jc w:val="both"/>
        <w:rPr>
          <w:sz w:val="22"/>
        </w:rPr>
      </w:pPr>
      <w:r>
        <w:rPr>
          <w:sz w:val="22"/>
        </w:rPr>
      </w:r>
    </w:p>
    <w:p>
      <w:pPr>
        <w:pStyle w:val="Normal"/>
        <w:spacing w:before="120" w:after="0"/>
        <w:jc w:val="both"/>
        <w:rPr>
          <w:sz w:val="22"/>
        </w:rPr>
      </w:pPr>
      <w:r>
        <w:rPr>
          <w:sz w:val="22"/>
        </w:rPr>
        <w:t>Party B designates Enron Europe Limited, Four Millbank, London SW1P 3ET to receive for and on behalf of Party A service of process in England.</w:t>
      </w:r>
    </w:p>
    <w:sectPr>
      <w:headerReference w:type="default" r:id="rId6"/>
      <w:headerReference w:type="first" r:id="rId7"/>
      <w:footerReference w:type="default" r:id="rId8"/>
      <w:footerReference w:type="first" r:id="rId9"/>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sz w:val="16"/>
      </w:rPr>
      <w:t>cstclai/specproj/jpmorgan/annexIa</w:t>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40.6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1460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cstclai/spejproj/jpmorgan/annexIa</w:t>
    </w:r>
  </w:p>
  <w:p>
    <w:pPr>
      <w:pStyle w:val="Foo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BodyText"/>
    <w:qFormat/>
    <w:pPr>
      <w:numPr>
        <w:ilvl w:val="1"/>
        <w:numId w:val="1"/>
      </w:numPr>
      <w:spacing w:before="0" w:after="24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720" w:start="720" w:end="720"/>
      <w:jc w:val="both"/>
    </w:pPr>
    <w:rPr>
      <w:sz w:val="22"/>
    </w:rPr>
  </w:style>
  <w:style w:type="paragraph" w:styleId="BodyTextIndent">
    <w:name w:val="Body Text Indent"/>
    <w:basedOn w:val="Normal"/>
    <w:pPr>
      <w:ind w:firstLine="720" w:start="0" w:end="720"/>
      <w:jc w:val="both"/>
    </w:pPr>
    <w:rPr>
      <w:sz w:val="22"/>
    </w:rPr>
  </w:style>
  <w:style w:type="paragraph" w:styleId="BodyTextIndent2">
    <w:name w:val="Body Text Indent 2"/>
    <w:basedOn w:val="Normal"/>
    <w:qFormat/>
    <w:pPr>
      <w:ind w:hanging="0" w:start="720" w:end="0"/>
      <w:jc w:val="both"/>
    </w:pPr>
    <w:rPr>
      <w:sz w:val="22"/>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1999-06-14T14:46:00Z</dcterms:created>
  <dc:creator>mheard</dc:creator>
  <dc:description/>
  <dc:language>en-CA</dc:language>
  <cp:lastModifiedBy>cstclai</cp:lastModifiedBy>
  <cp:lastPrinted>1999-06-21T13:43:00Z</cp:lastPrinted>
  <dcterms:modified xsi:type="dcterms:W3CDTF">1999-06-21T16:13:00Z</dcterms:modified>
  <cp:revision>6</cp:revision>
  <dc:subject/>
  <dc:title>ANNEX I, Part 1</dc:title>
</cp:coreProperties>
</file>