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widowControl/>
        <w:rPr>
          <w:szCs w:val="20"/>
        </w:rPr>
      </w:pPr>
      <w:r>
        <w:rPr>
          <w:szCs w:val="20"/>
        </w:rPr>
      </w:r>
    </w:p>
    <w:p>
      <w:pPr>
        <w:pStyle w:val="Normal"/>
        <w:widowControl/>
        <w:rPr>
          <w:szCs w:val="20"/>
        </w:rPr>
      </w:pPr>
      <w:r>
        <w:rPr>
          <w:szCs w:val="20"/>
        </w:rPr>
      </w:r>
    </w:p>
    <w:p>
      <w:pPr>
        <w:pStyle w:val="Normal"/>
        <w:widowContro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sz w:val="19"/>
          <w:szCs w:val="19"/>
        </w:rPr>
      </w:pPr>
      <w:r>
        <w:rPr>
          <w:rFonts w:cs="Arial Narrow" w:ascii="Arial Narrow" w:hAnsi="Arial Narrow"/>
          <w:sz w:val="19"/>
          <w:szCs w:val="19"/>
        </w:rPr>
      </w:r>
    </w:p>
    <w:p>
      <w:pPr>
        <w:pStyle w:val="Normal"/>
        <w:widowContro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sz w:val="19"/>
          <w:szCs w:val="19"/>
        </w:rPr>
      </w:pPr>
      <w:r>
        <w:rPr>
          <w:rFonts w:cs="Arial Narrow" w:ascii="Arial Narrow" w:hAnsi="Arial Narrow"/>
          <w:sz w:val="19"/>
          <w:szCs w:val="19"/>
        </w:rPr>
      </w:r>
    </w:p>
    <w:p>
      <w:pPr>
        <w:pStyle w:val="Normal"/>
        <w:widowControl/>
        <w:tabs>
          <w:tab w:val="clear" w:pos="720"/>
          <w:tab w:val="left" w:pos="690" w:leader="none"/>
          <w:tab w:val="left" w:pos="1440" w:leader="none"/>
          <w:tab w:val="left" w:pos="2160" w:leader="none"/>
          <w:tab w:val="left" w:pos="5280" w:leader="none"/>
          <w:tab w:val="left" w:pos="5472" w:leader="none"/>
          <w:tab w:val="left" w:pos="6480" w:leader="none"/>
        </w:tabs>
        <w:jc w:val="center"/>
        <w:rPr/>
      </w:pPr>
      <w:r>
        <w:rPr>
          <w:rFonts w:cs="Arial Narrow" w:ascii="Arial Narrow" w:hAnsi="Arial Narrow"/>
          <w:strike/>
          <w:sz w:val="19"/>
          <w:szCs w:val="19"/>
        </w:rPr>
        <w:t>September 25</w:t>
      </w:r>
      <w:r>
        <w:rPr>
          <w:rFonts w:cs="Arial Narrow" w:ascii="Arial Narrow" w:hAnsi="Arial Narrow"/>
          <w:sz w:val="19"/>
          <w:szCs w:val="19"/>
        </w:rPr>
        <w:t xml:space="preserve"> </w:t>
      </w:r>
      <w:r>
        <w:rPr>
          <w:rFonts w:cs="Arial Narrow" w:ascii="Arial Narrow" w:hAnsi="Arial Narrow"/>
          <w:b/>
          <w:bCs/>
          <w:sz w:val="19"/>
          <w:szCs w:val="19"/>
          <w:u w:val="double"/>
        </w:rPr>
        <w:t>October 19</w:t>
      </w:r>
      <w:r>
        <w:rPr>
          <w:rFonts w:cs="Arial Narrow" w:ascii="Arial Narrow" w:hAnsi="Arial Narrow"/>
          <w:sz w:val="19"/>
          <w:szCs w:val="19"/>
        </w:rPr>
        <w:t>, 2000</w:t>
      </w:r>
    </w:p>
    <w:p>
      <w:pPr>
        <w:pStyle w:val="Normal"/>
        <w:widowContro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sz w:val="19"/>
          <w:szCs w:val="19"/>
        </w:rPr>
      </w:pPr>
      <w:r>
        <w:rPr>
          <w:rFonts w:cs="Arial Narrow" w:ascii="Arial Narrow" w:hAnsi="Arial Narrow"/>
          <w:sz w:val="19"/>
          <w:szCs w:val="19"/>
        </w:rPr>
      </w:r>
    </w:p>
    <w:p>
      <w:pPr>
        <w:pStyle w:val="Normal"/>
        <w:widowContro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szCs w:val="19"/>
        </w:rPr>
      </w:pPr>
      <w:r>
        <w:rPr>
          <w:rFonts w:cs="Arial Narrow" w:ascii="Arial Narrow" w:hAnsi="Arial Narrow"/>
          <w:sz w:val="19"/>
          <w:szCs w:val="19"/>
        </w:rPr>
      </w:r>
    </w:p>
    <w:p>
      <w:pPr>
        <w:pStyle w:val="Normal"/>
        <w:widowContro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szCs w:val="19"/>
        </w:rPr>
      </w:pPr>
      <w:r>
        <w:rPr>
          <w:rFonts w:cs="Arial Narrow" w:ascii="Arial Narrow" w:hAnsi="Arial Narrow"/>
          <w:sz w:val="19"/>
          <w:szCs w:val="19"/>
        </w:rPr>
        <w:t>J. M. Huber Corporation</w:t>
      </w:r>
    </w:p>
    <w:p>
      <w:pPr>
        <w:pStyle w:val="Normal"/>
        <w:widowContro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szCs w:val="19"/>
        </w:rPr>
      </w:pPr>
      <w:r>
        <w:rPr>
          <w:rFonts w:cs="Arial Narrow" w:ascii="Arial Narrow" w:hAnsi="Arial Narrow"/>
          <w:sz w:val="19"/>
          <w:szCs w:val="19"/>
        </w:rPr>
        <w:t>11451 Katy Frwy Suite 400</w:t>
      </w:r>
    </w:p>
    <w:p>
      <w:pPr>
        <w:pStyle w:val="Normal"/>
        <w:widowContro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szCs w:val="19"/>
        </w:rPr>
      </w:pPr>
      <w:r>
        <w:rPr>
          <w:rFonts w:cs="Arial Narrow" w:ascii="Arial Narrow" w:hAnsi="Arial Narrow"/>
          <w:sz w:val="19"/>
          <w:szCs w:val="19"/>
        </w:rPr>
        <w:t>Houston, Texas 77079</w:t>
      </w:r>
    </w:p>
    <w:p>
      <w:pPr>
        <w:pStyle w:val="Normal"/>
        <w:widowContro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szCs w:val="19"/>
        </w:rPr>
      </w:pPr>
      <w:r>
        <w:rPr>
          <w:rFonts w:cs="Arial Narrow" w:ascii="Arial Narrow" w:hAnsi="Arial Narrow"/>
          <w:sz w:val="19"/>
          <w:szCs w:val="19"/>
        </w:rPr>
      </w:r>
    </w:p>
    <w:p>
      <w:pPr>
        <w:pStyle w:val="Normal"/>
        <w:widowControl/>
        <w:tabs>
          <w:tab w:val="clear" w:pos="720"/>
          <w:tab w:val="left" w:pos="690" w:leader="none"/>
          <w:tab w:val="left" w:pos="1440" w:leader="none"/>
          <w:tab w:val="left" w:pos="2160" w:leader="none"/>
          <w:tab w:val="left" w:pos="5280" w:leader="none"/>
          <w:tab w:val="left" w:pos="5472" w:leader="none"/>
          <w:tab w:val="left" w:pos="6480" w:leader="none"/>
        </w:tabs>
        <w:jc w:val="center"/>
        <w:rPr/>
      </w:pPr>
      <w:r>
        <w:rPr>
          <w:rFonts w:cs="Arial Narrow" w:ascii="Arial Narrow" w:hAnsi="Arial Narrow"/>
          <w:b/>
          <w:bCs/>
          <w:sz w:val="19"/>
          <w:szCs w:val="19"/>
          <w:u w:val="double"/>
        </w:rPr>
        <w:t>AMENDED AND RESTATED</w:t>
      </w:r>
      <w:r>
        <w:rPr>
          <w:rFonts w:cs="Arial Narrow" w:ascii="Arial Narrow" w:hAnsi="Arial Narrow"/>
          <w:sz w:val="19"/>
          <w:szCs w:val="19"/>
        </w:rPr>
        <w:t xml:space="preserve"> TRANSACTION AGREEMENT</w:t>
      </w:r>
    </w:p>
    <w:p>
      <w:pPr>
        <w:pStyle w:val="Normal"/>
        <w:widowContro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szCs w:val="19"/>
        </w:rPr>
      </w:pPr>
      <w:r>
        <w:rPr>
          <w:rFonts w:cs="Arial Narrow" w:ascii="Arial Narrow" w:hAnsi="Arial Narrow"/>
          <w:sz w:val="19"/>
          <w:szCs w:val="19"/>
        </w:rPr>
      </w:r>
    </w:p>
    <w:p>
      <w:pPr>
        <w:pStyle w:val="Normal"/>
        <w:widowControl/>
        <w:tabs>
          <w:tab w:val="clear" w:pos="720"/>
          <w:tab w:val="left" w:pos="690" w:leader="none"/>
          <w:tab w:val="left" w:pos="1440" w:leader="none"/>
          <w:tab w:val="left" w:pos="2160" w:leader="none"/>
          <w:tab w:val="left" w:pos="5280" w:leader="none"/>
          <w:tab w:val="left" w:pos="5472" w:leader="none"/>
          <w:tab w:val="left" w:pos="6480" w:leader="none"/>
        </w:tabs>
        <w:jc w:val="both"/>
        <w:rPr/>
      </w:pPr>
      <w:r>
        <w:rPr>
          <w:rFonts w:cs="Arial Narrow" w:ascii="Arial Narrow" w:hAnsi="Arial Narrow"/>
          <w:sz w:val="19"/>
          <w:szCs w:val="19"/>
        </w:rPr>
        <w:t xml:space="preserve">This </w:t>
      </w:r>
      <w:r>
        <w:rPr>
          <w:rFonts w:cs="Arial Narrow" w:ascii="Arial Narrow" w:hAnsi="Arial Narrow"/>
          <w:b/>
          <w:bCs/>
          <w:sz w:val="19"/>
          <w:szCs w:val="19"/>
          <w:u w:val="double"/>
        </w:rPr>
        <w:t>Amended and Restated</w:t>
      </w:r>
      <w:r>
        <w:rPr>
          <w:rFonts w:cs="Arial Narrow" w:ascii="Arial Narrow" w:hAnsi="Arial Narrow"/>
          <w:sz w:val="19"/>
          <w:szCs w:val="19"/>
        </w:rPr>
        <w:t xml:space="preserve"> Transaction Agreement shall </w:t>
      </w:r>
      <w:r>
        <w:rPr>
          <w:rFonts w:cs="Arial Narrow" w:ascii="Arial Narrow" w:hAnsi="Arial Narrow"/>
          <w:strike/>
          <w:sz w:val="19"/>
          <w:szCs w:val="19"/>
        </w:rPr>
        <w:t>form and effectuate the agreement</w:t>
      </w:r>
      <w:r>
        <w:rPr>
          <w:rFonts w:cs="Arial Narrow" w:ascii="Arial Narrow" w:hAnsi="Arial Narrow"/>
          <w:sz w:val="19"/>
          <w:szCs w:val="19"/>
        </w:rPr>
        <w:t xml:space="preserve"> </w:t>
      </w:r>
      <w:r>
        <w:rPr>
          <w:rFonts w:cs="Arial Narrow" w:ascii="Arial Narrow" w:hAnsi="Arial Narrow"/>
          <w:b/>
          <w:bCs/>
          <w:sz w:val="19"/>
          <w:szCs w:val="19"/>
          <w:u w:val="double"/>
        </w:rPr>
        <w:t>amend and restate the Transaction Agreement dated September 25, 2000</w:t>
      </w:r>
      <w:r>
        <w:rPr>
          <w:rFonts w:cs="Arial Narrow" w:ascii="Arial Narrow" w:hAnsi="Arial Narrow"/>
          <w:sz w:val="19"/>
          <w:szCs w:val="19"/>
        </w:rPr>
        <w:t xml:space="preserve"> reached between J M Huber Corporation ("</w:t>
      </w:r>
      <w:r>
        <w:rPr>
          <w:rFonts w:cs="Arial Narrow" w:ascii="Arial Narrow" w:hAnsi="Arial Narrow"/>
          <w:sz w:val="19"/>
          <w:szCs w:val="19"/>
          <w:u w:val="single"/>
        </w:rPr>
        <w:t>Customer</w:t>
      </w:r>
      <w:r>
        <w:rPr>
          <w:rFonts w:cs="Arial Narrow" w:ascii="Arial Narrow" w:hAnsi="Arial Narrow"/>
          <w:sz w:val="19"/>
          <w:szCs w:val="19"/>
        </w:rPr>
        <w:t>") and Enron North America Corp. ("</w:t>
      </w:r>
      <w:r>
        <w:rPr>
          <w:rFonts w:cs="Arial Narrow" w:ascii="Arial Narrow" w:hAnsi="Arial Narrow"/>
          <w:sz w:val="19"/>
          <w:szCs w:val="19"/>
          <w:u w:val="single"/>
        </w:rPr>
        <w:t>Company</w:t>
      </w:r>
      <w:r>
        <w:rPr>
          <w:rFonts w:cs="Arial Narrow" w:ascii="Arial Narrow" w:hAnsi="Arial Narrow"/>
          <w:sz w:val="19"/>
          <w:szCs w:val="19"/>
        </w:rPr>
        <w:t xml:space="preserve">") regarding the firm purchase and sale of Gas under the following terms and conditions.  Company shall purchase and receive (Buyer) and Customer shall sell and deliver (Seller).  </w:t>
      </w:r>
      <w:r>
        <w:rPr>
          <w:rFonts w:cs="Arial Narrow" w:ascii="Arial Narrow" w:hAnsi="Arial Narrow"/>
          <w:b/>
          <w:bCs/>
          <w:sz w:val="19"/>
          <w:szCs w:val="19"/>
          <w:u w:val="double"/>
        </w:rPr>
        <w:t>Amended and Restated</w:t>
      </w:r>
      <w:r>
        <w:rPr>
          <w:rFonts w:cs="Arial Narrow" w:ascii="Arial Narrow" w:hAnsi="Arial Narrow"/>
          <w:sz w:val="19"/>
          <w:szCs w:val="19"/>
        </w:rPr>
        <w:t xml:space="preserve"> Transaction No. 2.</w:t>
      </w:r>
    </w:p>
    <w:p>
      <w:pPr>
        <w:pStyle w:val="Normal"/>
        <w:widowContro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szCs w:val="19"/>
        </w:rPr>
      </w:pPr>
      <w:r>
        <w:rPr>
          <w:rFonts w:cs="Arial Narrow" w:ascii="Arial Narrow" w:hAnsi="Arial Narrow"/>
          <w:sz w:val="19"/>
          <w:szCs w:val="19"/>
        </w:rPr>
      </w:r>
    </w:p>
    <w:p>
      <w:pPr>
        <w:pStyle w:val="Normal"/>
        <w:widowControl/>
        <w:tabs>
          <w:tab w:val="clear" w:pos="720"/>
          <w:tab w:val="left" w:pos="8640" w:leader="none"/>
        </w:tabs>
        <w:ind w:hanging="4680" w:start="4680" w:end="0"/>
        <w:jc w:val="both"/>
        <w:rPr>
          <w:rFonts w:ascii="Arial Narrow" w:hAnsi="Arial Narrow" w:cs="Arial Narrow"/>
          <w:sz w:val="19"/>
          <w:szCs w:val="19"/>
        </w:rPr>
      </w:pPr>
      <w:r>
        <w:rPr>
          <w:rFonts w:cs="Arial Narrow" w:ascii="Arial Narrow" w:hAnsi="Arial Narrow"/>
          <w:sz w:val="19"/>
          <w:szCs w:val="19"/>
        </w:rPr>
        <w:t>DAILY CONTRACT QUANTITY (DCQ):</w:t>
        <w:tab/>
        <w:t>10,000 MMBtu Per Day, plus Fuel Gas.</w:t>
      </w:r>
    </w:p>
    <w:p>
      <w:pPr>
        <w:pStyle w:val="Normal"/>
        <w:widowControl/>
        <w:tabs>
          <w:tab w:val="clear" w:pos="720"/>
          <w:tab w:val="left" w:pos="8640" w:leader="none"/>
        </w:tabs>
        <w:ind w:hanging="4680" w:start="4680" w:end="0"/>
        <w:jc w:val="both"/>
        <w:rPr>
          <w:rFonts w:ascii="Arial Narrow" w:hAnsi="Arial Narrow" w:cs="Arial Narrow"/>
          <w:sz w:val="19"/>
          <w:szCs w:val="19"/>
          <w:u w:val="single"/>
        </w:rPr>
      </w:pPr>
      <w:r>
        <w:rPr>
          <w:rFonts w:cs="Arial Narrow" w:ascii="Arial Narrow" w:hAnsi="Arial Narrow"/>
          <w:sz w:val="19"/>
          <w:szCs w:val="19"/>
        </w:rPr>
        <w:t>MAXDQ (if applicable):</w:t>
        <w:tab/>
        <w:t>N/A</w:t>
      </w:r>
    </w:p>
    <w:p>
      <w:pPr>
        <w:pStyle w:val="Normal"/>
        <w:widowControl/>
        <w:tabs>
          <w:tab w:val="clear" w:pos="720"/>
          <w:tab w:val="left" w:pos="8640" w:leader="none"/>
        </w:tabs>
        <w:ind w:hanging="4680" w:start="4680" w:end="0"/>
        <w:jc w:val="both"/>
        <w:rPr>
          <w:rFonts w:ascii="Arial Narrow" w:hAnsi="Arial Narrow" w:cs="Arial Narrow"/>
          <w:sz w:val="19"/>
          <w:szCs w:val="19"/>
        </w:rPr>
      </w:pPr>
      <w:r>
        <w:rPr>
          <w:rFonts w:cs="Arial Narrow" w:ascii="Arial Narrow" w:hAnsi="Arial Narrow"/>
          <w:sz w:val="19"/>
          <w:szCs w:val="19"/>
        </w:rPr>
        <w:t>MINMQ (if applicable):</w:t>
        <w:tab/>
        <w:t>N/A</w:t>
      </w:r>
    </w:p>
    <w:p>
      <w:pPr>
        <w:pStyle w:val="Normal"/>
        <w:widowControl/>
        <w:tabs>
          <w:tab w:val="clear" w:pos="720"/>
          <w:tab w:val="left" w:pos="8640" w:leader="none"/>
        </w:tabs>
        <w:ind w:hanging="4680" w:start="4680" w:end="0"/>
        <w:jc w:val="both"/>
        <w:rPr>
          <w:rFonts w:ascii="Arial Narrow" w:hAnsi="Arial Narrow" w:cs="Arial Narrow"/>
          <w:sz w:val="19"/>
          <w:szCs w:val="19"/>
        </w:rPr>
      </w:pPr>
      <w:r>
        <w:rPr>
          <w:rFonts w:cs="Arial Narrow" w:ascii="Arial Narrow" w:hAnsi="Arial Narrow"/>
          <w:sz w:val="19"/>
          <w:szCs w:val="19"/>
        </w:rPr>
        <w:t>MINDQ (if applicable):</w:t>
        <w:tab/>
        <w:t>N/A</w:t>
      </w:r>
    </w:p>
    <w:p>
      <w:pPr>
        <w:pStyle w:val="Normal"/>
        <w:widowControl/>
        <w:tabs>
          <w:tab w:val="clear" w:pos="720"/>
          <w:tab w:val="left" w:pos="8640" w:leader="none"/>
        </w:tabs>
        <w:ind w:hanging="4680" w:start="4680" w:end="0"/>
        <w:jc w:val="both"/>
        <w:rPr>
          <w:rFonts w:ascii="Arial Narrow" w:hAnsi="Arial Narrow" w:cs="Arial Narrow"/>
          <w:sz w:val="18"/>
          <w:szCs w:val="18"/>
          <w:u w:val="single"/>
        </w:rPr>
      </w:pPr>
      <w:r>
        <w:rPr>
          <w:rFonts w:cs="Arial Narrow" w:ascii="Arial Narrow" w:hAnsi="Arial Narrow"/>
          <w:sz w:val="19"/>
          <w:szCs w:val="19"/>
        </w:rPr>
        <w:t>DELIVERY POINT(S):</w:t>
        <w:tab/>
        <w:t>At the Glenrock delivery point into the Medicine Bow Lateral facilities of Wyoming Interstate Company, Ltd. (“WIC”).  Customer to provide to Company, at no charge to Company, all volumes of Fuel Gas required by Colorado Interstate Gas Company (“CIG”) and WIC to transport the DCQ from the Glenrock delivery point to the interconnect between CIG and Natural Gas Pipeline Co. of America (“NGPL”) at Forgan</w:t>
      </w:r>
      <w:r>
        <w:rPr>
          <w:rFonts w:cs="Arial Narrow" w:ascii="Arial Narrow" w:hAnsi="Arial Narrow"/>
          <w:sz w:val="18"/>
          <w:szCs w:val="18"/>
        </w:rPr>
        <w:t>.</w:t>
      </w:r>
    </w:p>
    <w:p>
      <w:pPr>
        <w:pStyle w:val="BodyText"/>
        <w:widowControl/>
        <w:ind w:hanging="4680" w:start="4680" w:end="0"/>
        <w:rPr>
          <w:sz w:val="19"/>
          <w:szCs w:val="19"/>
        </w:rPr>
      </w:pPr>
      <w:r>
        <w:rPr>
          <w:rFonts w:cs="Arial Narrow" w:ascii="Arial Narrow" w:hAnsi="Arial Narrow"/>
          <w:sz w:val="19"/>
          <w:szCs w:val="19"/>
        </w:rPr>
        <w:t>CONTRACT PRICE (per MMBtu):</w:t>
        <w:tab/>
        <w:t xml:space="preserve">The NGPL-MidContinent Index minus the Transport Charges for each delivery month (i.e. NGPL-MidContinent Index minus $0.4445 plus Fuel Gas and ACA).  “NGPL-MidContinent Index” means the price for natural gas for the applicable delivery month in U.S. dollars per MMBtu published in the first issue in that month by </w:t>
      </w:r>
      <w:r>
        <w:rPr>
          <w:rFonts w:cs="Arial Narrow" w:ascii="Arial Narrow" w:hAnsi="Arial Narrow"/>
          <w:i/>
          <w:iCs/>
          <w:sz w:val="19"/>
          <w:szCs w:val="19"/>
          <w:u w:val="single"/>
        </w:rPr>
        <w:t>Inside F.E.R.C.’s Gas Market Report</w:t>
      </w:r>
      <w:r>
        <w:rPr>
          <w:rFonts w:cs="Arial Narrow" w:ascii="Arial Narrow" w:hAnsi="Arial Narrow"/>
          <w:sz w:val="19"/>
          <w:szCs w:val="19"/>
        </w:rPr>
        <w:t xml:space="preserve">, in the table entitled “prices of Spot Gas Delivered to Pipelines”, in the column for “Index” in the row for “NGPL-MidContinent”.  “Transport Charges” means the sum of (i) a $0.30 demand charge plus all commodity charges and all other applicable charges for CIG under the FERC-approved rate schedule for the CIG expansion, which expansion is the subject of the Precedent Agreements (hereinafter defined) and all associated transport agreement entered into by Buyer with CIG in association with the Precedent Agreements, effective for the delivery Month, for firm transportation service, invoiced by CIG, relative to the DCQ and including WIC transportation charges for CIG Fuel Gas, and (ii) the </w:t>
      </w:r>
      <w:r>
        <w:rPr>
          <w:rFonts w:cs="Arial Narrow" w:ascii="Arial Narrow" w:hAnsi="Arial Narrow"/>
          <w:strike/>
          <w:sz w:val="19"/>
          <w:szCs w:val="19"/>
        </w:rPr>
        <w:t xml:space="preserve">$0.12 demand charge plus all commodity charges </w:t>
      </w:r>
      <w:r>
        <w:rPr>
          <w:rFonts w:cs="Arial Narrow" w:ascii="Arial Narrow" w:hAnsi="Arial Narrow"/>
          <w:b/>
          <w:bCs/>
          <w:sz w:val="19"/>
          <w:szCs w:val="19"/>
          <w:u w:val="double"/>
        </w:rPr>
        <w:t>net sum of all transportation charges/credits, effective for the delivery month, paid by Buyer to WIC, inclusive of all demand charges, commodity charges,</w:t>
      </w:r>
      <w:r>
        <w:rPr>
          <w:rFonts w:cs="Arial Narrow" w:ascii="Arial Narrow" w:hAnsi="Arial Narrow"/>
          <w:sz w:val="19"/>
          <w:szCs w:val="19"/>
        </w:rPr>
        <w:t xml:space="preserve"> and all other applicable charges </w:t>
      </w:r>
      <w:r>
        <w:rPr>
          <w:rFonts w:cs="Arial Narrow" w:ascii="Arial Narrow" w:hAnsi="Arial Narrow"/>
          <w:strike/>
          <w:sz w:val="19"/>
          <w:szCs w:val="19"/>
        </w:rPr>
        <w:t xml:space="preserve">under FERC-approved rate schedule for the WIC Transport (hereinafter defined), effective for the delivery Month, invoiced by WIC </w:t>
      </w:r>
      <w:r>
        <w:rPr>
          <w:rFonts w:cs="Arial Narrow" w:ascii="Arial Narrow" w:hAnsi="Arial Narrow"/>
          <w:b/>
          <w:bCs/>
          <w:sz w:val="19"/>
          <w:szCs w:val="19"/>
          <w:u w:val="double"/>
        </w:rPr>
        <w:t>invoiced by WIC for transport on the WIC system from Glenrock to _________</w:t>
      </w:r>
      <w:r>
        <w:rPr>
          <w:rFonts w:cs="Arial Narrow" w:ascii="Arial Narrow" w:hAnsi="Arial Narrow"/>
          <w:sz w:val="19"/>
          <w:szCs w:val="19"/>
        </w:rPr>
        <w:t xml:space="preserve"> relative to the DCQ.  The Transport Charges shall include, but not be limited to, demand charges, commodity charges, and all other applicable charges for CIG and WIC.  During all periods of Force Majeure hereunder, Seller shall reimburse Buyer for the Transport Charges as invoiced by CIG and WIC.</w:t>
      </w:r>
    </w:p>
    <w:p>
      <w:pPr>
        <w:pStyle w:val="Normal"/>
        <w:widowControl/>
        <w:tabs>
          <w:tab w:val="clear" w:pos="720"/>
          <w:tab w:val="left" w:pos="8640" w:leader="none"/>
        </w:tabs>
        <w:ind w:hanging="4680" w:start="4680" w:end="0"/>
        <w:jc w:val="both"/>
        <w:rPr>
          <w:rFonts w:ascii="Arial Narrow" w:hAnsi="Arial Narrow" w:cs="Arial Narrow"/>
          <w:sz w:val="19"/>
          <w:szCs w:val="19"/>
        </w:rPr>
      </w:pPr>
      <w:r>
        <w:rPr>
          <w:rFonts w:cs="Arial Narrow" w:ascii="Arial Narrow" w:hAnsi="Arial Narrow"/>
          <w:sz w:val="19"/>
          <w:szCs w:val="19"/>
        </w:rPr>
        <w:t xml:space="preserve">PERIOD OF DELIVERY:  </w:t>
        <w:tab/>
        <w:t>The Period of Delivery shall commence on the in-service date of the WIC Medicine Bow Loop expansion and ending on the fifth (5</w:t>
      </w:r>
      <w:r>
        <w:rPr>
          <w:rFonts w:cs="Arial Narrow" w:ascii="Arial Narrow" w:hAnsi="Arial Narrow"/>
          <w:sz w:val="19"/>
          <w:szCs w:val="19"/>
          <w:vertAlign w:val="superscript"/>
        </w:rPr>
        <w:t>th</w:t>
      </w:r>
      <w:r>
        <w:rPr>
          <w:rFonts w:cs="Arial Narrow" w:ascii="Arial Narrow" w:hAnsi="Arial Narrow"/>
          <w:sz w:val="19"/>
          <w:szCs w:val="19"/>
        </w:rPr>
        <w:t>) anniversary thereof</w:t>
      </w:r>
      <w:r>
        <w:rPr>
          <w:rFonts w:cs="Arial Narrow" w:ascii="Arial Narrow" w:hAnsi="Arial Narrow"/>
          <w:i/>
          <w:iCs/>
          <w:sz w:val="19"/>
          <w:szCs w:val="19"/>
        </w:rPr>
        <w:t xml:space="preserve">.  </w:t>
      </w:r>
    </w:p>
    <w:p>
      <w:pPr>
        <w:pStyle w:val="Normal"/>
        <w:widowControl/>
        <w:tabs>
          <w:tab w:val="clear" w:pos="720"/>
          <w:tab w:val="left" w:pos="8640" w:leader="none"/>
        </w:tabs>
        <w:ind w:hanging="4680" w:start="4680" w:end="0"/>
        <w:jc w:val="both"/>
        <w:rPr>
          <w:rFonts w:ascii="Arial Narrow" w:hAnsi="Arial Narrow" w:cs="Arial Narrow"/>
          <w:sz w:val="19"/>
          <w:szCs w:val="19"/>
        </w:rPr>
      </w:pPr>
      <w:r>
        <w:rPr>
          <w:rFonts w:cs="Arial Narrow" w:ascii="Arial Narrow" w:hAnsi="Arial Narrow"/>
          <w:sz w:val="19"/>
          <w:szCs w:val="19"/>
        </w:rPr>
        <w:t>SPOT PRICE LOCATION:</w:t>
        <w:tab/>
        <w:t>CIG North System</w:t>
      </w:r>
    </w:p>
    <w:p>
      <w:pPr>
        <w:pStyle w:val="Normal"/>
        <w:widowControl/>
        <w:ind w:hanging="4680" w:start="4680" w:end="0"/>
        <w:jc w:val="both"/>
        <w:rPr/>
      </w:pPr>
      <w:r>
        <w:rPr>
          <w:rFonts w:cs="Arial Narrow" w:ascii="Arial Narrow" w:hAnsi="Arial Narrow"/>
          <w:sz w:val="19"/>
          <w:szCs w:val="19"/>
        </w:rPr>
        <w:t>OTHER:</w:t>
        <w:tab/>
      </w:r>
      <w:r>
        <w:rPr>
          <w:rFonts w:cs="Arial Narrow" w:ascii="Arial Narrow" w:hAnsi="Arial Narrow"/>
          <w:sz w:val="19"/>
          <w:szCs w:val="19"/>
          <w:u w:val="single"/>
        </w:rPr>
        <w:t>Condition Precedent</w:t>
      </w:r>
      <w:r>
        <w:rPr>
          <w:rFonts w:cs="Arial Narrow" w:ascii="Arial Narrow" w:hAnsi="Arial Narrow"/>
          <w:sz w:val="19"/>
          <w:szCs w:val="19"/>
        </w:rPr>
        <w:t>.  Buyer shall use reasonable efforts to obtain firm transportation, on terms and conditions acceptable to Buyer, necessary to transport the DCQ on (i) the expansion facilities of CIG, as such expansion is defined under those two (2) certain Precedent Agreements (CIG Expansion from Cheyenne Hub to Forgan, Baker, Lakin) between Buyer and CIG of even date herewith (the “Precedent Agreements”) for firm delivery service to Forgan at the interconnect of CIG with the facilities of Natural Gas Pipeline Co. of America (“NGPL”), (the “CIG Transport”) and (ii) the Medicine Bow Lateral facilities of Wyoming Interstate Company, Ltd (“WIC”) for under that certain Firm Transportation Service Agreement – Rate Schedule FT between Buyer and Wyoming Interstate Company, Ltd. dated September 1, 1999 as the same may be amended or extended (the “WIC FT Agreement”) for firm delivery service to Cheyenne (Rockport) (the “WIC Transport”) for the Period of Delivery ((i) and (ii) collectively the “Transportation Requirements”).</w:t>
      </w:r>
    </w:p>
    <w:p>
      <w:pPr>
        <w:pStyle w:val="BodyTextIndent2"/>
        <w:widowControl/>
        <w:rPr/>
      </w:pPr>
      <w:r>
        <w:rPr/>
        <w:t xml:space="preserve">Customer shall cooperate with Company in obtaining the Transportation Requirements.  Company shall inform Customer forthwith in writing upon obtaining the Transportation Requirements.  </w:t>
      </w:r>
    </w:p>
    <w:p>
      <w:pPr>
        <w:pStyle w:val="BodyTextIndent2"/>
        <w:widowControl/>
        <w:rPr/>
      </w:pPr>
      <w:r>
        <w:rPr/>
        <w:t>If Company is allocated some portion of the DCQ in accordance with the Precedent Agreements and CIG’s associated capacity allocation process for its expansion under the Precedent Agreements, the DCQ hereunder shall be revised to equal that portion of the DCQ allocated to Company by CIG.</w:t>
      </w:r>
    </w:p>
    <w:p>
      <w:pPr>
        <w:pStyle w:val="BodyTextIndent2"/>
        <w:widowControl/>
        <w:rPr/>
      </w:pPr>
      <w:r>
        <w:rPr/>
        <w:t>If Company does not obtain the Transportation Requirements, on terms and conditions acceptable to Company, then Company shall provide Customer written notice of such failure to obtain the Transportation Requirements and upon such notice either Company or Customer may terminate this Transaction  Agreement by giving 10 days prior written notice thereof to the other Party.</w:t>
      </w:r>
    </w:p>
    <w:p>
      <w:pPr>
        <w:pStyle w:val="BodyTextIndent2"/>
        <w:widowControl/>
        <w:rPr/>
      </w:pPr>
      <w:r>
        <w:rPr/>
      </w:r>
    </w:p>
    <w:p>
      <w:pPr>
        <w:pStyle w:val="BodyTextIndent2"/>
        <w:widowControl/>
        <w:rPr/>
      </w:pPr>
      <w:r>
        <w:rPr>
          <w:u w:val="single"/>
        </w:rPr>
        <w:t>Assignment/Release</w:t>
      </w:r>
      <w:r>
        <w:rPr/>
        <w:t xml:space="preserve">. </w:t>
      </w:r>
    </w:p>
    <w:p>
      <w:pPr>
        <w:pStyle w:val="BodyTextIndent2"/>
        <w:widowControl/>
        <w:rPr/>
      </w:pPr>
      <w:r>
        <w:rPr/>
      </w:r>
    </w:p>
    <w:p>
      <w:pPr>
        <w:pStyle w:val="BodyTextIndent2"/>
        <w:widowControl/>
        <w:rPr/>
      </w:pPr>
      <w:r>
        <w:rPr/>
        <w:t xml:space="preserve">1.  Customer agrees to take assignment of the Precedent Agreements from Company necessary to move Customer’s gas from Cheyenne to Forgan and Customer shall assume all of Company rights and obligations under the assigned Precedent Agreements.  Customer shall take such assignment upon written notice from Company to Customer. </w:t>
      </w:r>
    </w:p>
    <w:p>
      <w:pPr>
        <w:pStyle w:val="BodyTextIndent2"/>
        <w:widowControl/>
        <w:rPr/>
      </w:pPr>
      <w:r>
        <w:rPr/>
      </w:r>
    </w:p>
    <w:p>
      <w:pPr>
        <w:pStyle w:val="BodyTextIndent2"/>
        <w:widowControl/>
        <w:rPr/>
      </w:pPr>
      <w:r>
        <w:rPr/>
        <w:t>2.  Customer agrees to take assignment from Company or accept Company’s release of 10,325 mmbtu Per Day of transportation capacity from Company under the WIC FT Agreement for the remainder of the term of the WIC FT Agreement. Customer shall take such assignment upon written notice from Company to Customer.</w:t>
      </w:r>
    </w:p>
    <w:p>
      <w:pPr>
        <w:pStyle w:val="BodyTextIndent2"/>
        <w:widowControl/>
        <w:rPr/>
      </w:pPr>
      <w:r>
        <w:rPr/>
      </w:r>
    </w:p>
    <w:p>
      <w:pPr>
        <w:pStyle w:val="BodyTextIndent2"/>
        <w:widowControl/>
        <w:rPr/>
      </w:pPr>
      <w:r>
        <w:rPr/>
        <w:t>3.  Customer agrees to take assignment from Company of those certain Precedent Agreements Open Season between Buyer and and Trailblazer Pipeline Company dated August 18, 2000 (the “Trailblazer Agreement”).  Customer shall take such assignment upon written notice from Company to Customer.</w:t>
      </w:r>
    </w:p>
    <w:p>
      <w:pPr>
        <w:pStyle w:val="BodyTextIndent2"/>
        <w:widowControl/>
        <w:rPr/>
      </w:pPr>
      <w:r>
        <w:rPr/>
      </w:r>
    </w:p>
    <w:p>
      <w:pPr>
        <w:pStyle w:val="BodyTextIndent2"/>
        <w:widowControl/>
        <w:rPr/>
      </w:pPr>
      <w:r>
        <w:rPr/>
        <w:t xml:space="preserve">Customer agrees to release back to Buyer (all the capacity assigned or released to Seller under items 1 thru 3 above (the “Capacity”) for the applicable periods of time) for a one (1) year term, on an annual basis to enable Buyer to perform the purchase obligations that have been contracted for under this </w:t>
      </w:r>
      <w:r>
        <w:rPr>
          <w:b/>
          <w:bCs/>
          <w:u w:val="double"/>
        </w:rPr>
        <w:t>Amended and Restated</w:t>
      </w:r>
      <w:r>
        <w:rPr/>
        <w:t xml:space="preserve"> Transaction Agreement (Transaction No. 2) and Transaction No. 1.  Such annual release shall begin on the date specified in the written notice from Buyer to Seller in items 1 thru 3 above and occur on each anniversary thereof.  In the event that such release of the Capacity back to Buyer for such one (1) year terms results in Buyer having to take the Capacity at a rate higher than the rates currently specified under the Precedent Agreements, the Trailblazer Agreement, or the WIC FT Agreement, then to avoid adverse financial impact to Buyer Buyer and Seller shall enter into an agency relationship which allows Buyer to act as Seller’s agent for the administration and control of the Capacity.  </w:t>
      </w:r>
    </w:p>
    <w:p>
      <w:pPr>
        <w:pStyle w:val="BodyTextIndent2"/>
        <w:widowControl/>
        <w:rPr/>
      </w:pPr>
      <w:r>
        <w:rPr/>
      </w:r>
    </w:p>
    <w:p>
      <w:pPr>
        <w:pStyle w:val="BodyTextIndent2"/>
        <w:widowControl/>
        <w:rPr/>
      </w:pPr>
      <w:r>
        <w:rPr/>
        <w:t>All assignment, release, or agency agreements necessary to effectuate the actions as described in this section shall be in a form acceptable to Buyer.</w:t>
      </w:r>
    </w:p>
    <w:p>
      <w:pPr>
        <w:pStyle w:val="BodyTextIndent2"/>
        <w:widowControl/>
        <w:rPr/>
      </w:pPr>
      <w:r>
        <w:rPr/>
        <w:tab/>
        <w:tab/>
        <w:tab/>
      </w:r>
    </w:p>
    <w:p>
      <w:pPr>
        <w:pStyle w:val="Normal"/>
        <w:widowContro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szCs w:val="19"/>
        </w:rPr>
      </w:pPr>
      <w:r>
        <w:rPr>
          <w:rFonts w:cs="Arial Narrow" w:ascii="Arial Narrow" w:hAnsi="Arial Narrow"/>
          <w:sz w:val="19"/>
          <w:szCs w:val="19"/>
        </w:rPr>
      </w:r>
    </w:p>
    <w:p>
      <w:pPr>
        <w:pStyle w:val="Normal"/>
        <w:widowControl/>
        <w:tabs>
          <w:tab w:val="clear" w:pos="720"/>
          <w:tab w:val="left" w:pos="690" w:leader="none"/>
          <w:tab w:val="left" w:pos="1440" w:leader="none"/>
          <w:tab w:val="left" w:pos="2160" w:leader="none"/>
          <w:tab w:val="left" w:pos="5280" w:leader="none"/>
          <w:tab w:val="left" w:pos="5472" w:leader="none"/>
          <w:tab w:val="left" w:pos="6480" w:leader="none"/>
        </w:tabs>
        <w:jc w:val="both"/>
        <w:rPr/>
      </w:pPr>
      <w:r>
        <w:rPr>
          <w:rFonts w:cs="Arial Narrow" w:ascii="Arial Narrow" w:hAnsi="Arial Narrow"/>
          <w:sz w:val="19"/>
          <w:szCs w:val="19"/>
        </w:rPr>
        <w:t xml:space="preserve">This </w:t>
      </w:r>
      <w:r>
        <w:rPr>
          <w:rFonts w:cs="Arial Narrow" w:ascii="Arial Narrow" w:hAnsi="Arial Narrow"/>
          <w:b/>
          <w:bCs/>
          <w:sz w:val="19"/>
          <w:szCs w:val="19"/>
          <w:u w:val="double"/>
        </w:rPr>
        <w:t>Amended and Restated</w:t>
      </w:r>
      <w:r>
        <w:rPr>
          <w:rFonts w:cs="Arial Narrow" w:ascii="Arial Narrow" w:hAnsi="Arial Narrow"/>
          <w:sz w:val="19"/>
          <w:szCs w:val="19"/>
        </w:rPr>
        <w:t xml:space="preserve"> Transaction Agreement is being provided pursuant to and in accordance with the ENFOLIO Master Firm Purchase/Sale Agreement in effect between Customer and Company and constitutes part of and is subject to all of the terms and provisions of such Agreement.  Please execute this </w:t>
      </w:r>
      <w:r>
        <w:rPr>
          <w:rFonts w:cs="Arial Narrow" w:ascii="Arial Narrow" w:hAnsi="Arial Narrow"/>
          <w:b/>
          <w:bCs/>
          <w:sz w:val="19"/>
          <w:szCs w:val="19"/>
          <w:u w:val="double"/>
        </w:rPr>
        <w:t>Amended and Restated</w:t>
      </w:r>
      <w:r>
        <w:rPr>
          <w:rFonts w:cs="Arial Narrow" w:ascii="Arial Narrow" w:hAnsi="Arial Narrow"/>
          <w:sz w:val="19"/>
          <w:szCs w:val="19"/>
        </w:rPr>
        <w:t xml:space="preserve"> Transaction Agreement and return an executed copy to Company.  Your execution should reflect the appropriate party in your organization who has the authority to cause Customer to enter into this Transaction.  In the event Customer alters the terms of this </w:t>
      </w:r>
      <w:r>
        <w:rPr>
          <w:rFonts w:cs="Arial Narrow" w:ascii="Arial Narrow" w:hAnsi="Arial Narrow"/>
          <w:b/>
          <w:bCs/>
          <w:sz w:val="19"/>
          <w:szCs w:val="19"/>
          <w:u w:val="double"/>
        </w:rPr>
        <w:t>Amended and Restated</w:t>
      </w:r>
      <w:r>
        <w:rPr>
          <w:rFonts w:cs="Arial Narrow" w:ascii="Arial Narrow" w:hAnsi="Arial Narrow"/>
          <w:sz w:val="19"/>
          <w:szCs w:val="19"/>
        </w:rPr>
        <w:t xml:space="preserve"> Transaction Agreement in any manner there will be no Transaction pursuant to this </w:t>
      </w:r>
      <w:r>
        <w:rPr>
          <w:rFonts w:cs="Arial Narrow" w:ascii="Arial Narrow" w:hAnsi="Arial Narrow"/>
          <w:b/>
          <w:bCs/>
          <w:sz w:val="19"/>
          <w:szCs w:val="19"/>
          <w:u w:val="double"/>
        </w:rPr>
        <w:t>Amended and Restated</w:t>
      </w:r>
      <w:r>
        <w:rPr>
          <w:rFonts w:cs="Arial Narrow" w:ascii="Arial Narrow" w:hAnsi="Arial Narrow"/>
          <w:sz w:val="19"/>
          <w:szCs w:val="19"/>
        </w:rPr>
        <w:t xml:space="preserve"> Transaction Agreement.</w:t>
      </w:r>
    </w:p>
    <w:p>
      <w:pPr>
        <w:pStyle w:val="Normal"/>
        <w:widowContro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szCs w:val="19"/>
        </w:rPr>
      </w:pPr>
      <w:r>
        <w:rPr>
          <w:rFonts w:cs="Arial Narrow" w:ascii="Arial Narrow" w:hAnsi="Arial Narrow"/>
          <w:sz w:val="19"/>
          <w:szCs w:val="19"/>
        </w:rPr>
      </w:r>
    </w:p>
    <w:tbl>
      <w:tblPr>
        <w:tblW w:w="9558" w:type="dxa"/>
        <w:jc w:val="start"/>
        <w:tblInd w:w="0" w:type="dxa"/>
        <w:tblLayout w:type="fixed"/>
        <w:tblCellMar>
          <w:top w:w="0" w:type="dxa"/>
          <w:start w:w="108" w:type="dxa"/>
          <w:bottom w:w="0" w:type="dxa"/>
          <w:end w:w="108" w:type="dxa"/>
        </w:tblCellMar>
      </w:tblPr>
      <w:tblGrid>
        <w:gridCol w:w="4698"/>
        <w:gridCol w:w="4860"/>
      </w:tblGrid>
      <w:tr>
        <w:trPr/>
        <w:tc>
          <w:tcPr>
            <w:tcW w:w="4698" w:type="dxa"/>
            <w:tcBorders/>
          </w:tcPr>
          <w:p>
            <w:pPr>
              <w:pStyle w:val="Normal"/>
              <w:widowControl/>
              <w:tabs>
                <w:tab w:val="clear" w:pos="720"/>
                <w:tab w:val="left" w:pos="270" w:leader="none"/>
                <w:tab w:val="left" w:pos="4320" w:leader="none"/>
              </w:tabs>
              <w:jc w:val="both"/>
              <w:rPr>
                <w:rFonts w:ascii="Arial Narrow" w:hAnsi="Arial Narrow" w:cs="Arial Narrow"/>
                <w:sz w:val="19"/>
                <w:szCs w:val="19"/>
              </w:rPr>
            </w:pPr>
            <w:r>
              <w:rPr>
                <w:rFonts w:cs="Arial Narrow" w:ascii="Arial Narrow" w:hAnsi="Arial Narrow"/>
                <w:sz w:val="19"/>
                <w:szCs w:val="19"/>
              </w:rPr>
              <w:t>ENRON NORTH AMERICA CORP.</w:t>
            </w:r>
          </w:p>
        </w:tc>
        <w:tc>
          <w:tcPr>
            <w:tcW w:w="4860" w:type="dxa"/>
            <w:tcBorders/>
          </w:tcPr>
          <w:p>
            <w:pPr>
              <w:pStyle w:val="Normal"/>
              <w:widowControl/>
              <w:tabs>
                <w:tab w:val="clear" w:pos="720"/>
                <w:tab w:val="left" w:pos="252" w:leader="none"/>
                <w:tab w:val="left" w:pos="4482" w:leader="none"/>
              </w:tabs>
              <w:jc w:val="both"/>
              <w:rPr>
                <w:rFonts w:ascii="Arial Narrow" w:hAnsi="Arial Narrow" w:cs="Arial Narrow"/>
                <w:sz w:val="19"/>
                <w:szCs w:val="19"/>
              </w:rPr>
            </w:pPr>
            <w:r>
              <w:rPr>
                <w:rFonts w:cs="Arial Narrow" w:ascii="Arial Narrow" w:hAnsi="Arial Narrow"/>
                <w:sz w:val="19"/>
                <w:szCs w:val="19"/>
              </w:rPr>
              <w:t>J. M. HUBER CORPORATION</w:t>
            </w:r>
          </w:p>
        </w:tc>
      </w:tr>
      <w:tr>
        <w:trPr/>
        <w:tc>
          <w:tcPr>
            <w:tcW w:w="4698" w:type="dxa"/>
            <w:tcBorders/>
          </w:tcPr>
          <w:p>
            <w:pPr>
              <w:pStyle w:val="Normal"/>
              <w:widowControl/>
              <w:tabs>
                <w:tab w:val="clear" w:pos="720"/>
                <w:tab w:val="left" w:pos="270" w:leader="none"/>
                <w:tab w:val="left" w:pos="4320" w:leader="none"/>
              </w:tabs>
              <w:snapToGrid w:val="false"/>
              <w:jc w:val="both"/>
              <w:rPr>
                <w:rFonts w:ascii="Arial Narrow" w:hAnsi="Arial Narrow" w:cs="Arial Narrow"/>
                <w:sz w:val="19"/>
                <w:szCs w:val="19"/>
              </w:rPr>
            </w:pPr>
            <w:r>
              <w:rPr>
                <w:rFonts w:cs="Arial Narrow" w:ascii="Arial Narrow" w:hAnsi="Arial Narrow"/>
                <w:sz w:val="19"/>
                <w:szCs w:val="19"/>
              </w:rPr>
            </w:r>
          </w:p>
        </w:tc>
        <w:tc>
          <w:tcPr>
            <w:tcW w:w="4860" w:type="dxa"/>
            <w:tcBorders/>
          </w:tcPr>
          <w:p>
            <w:pPr>
              <w:pStyle w:val="Normal"/>
              <w:widowControl/>
              <w:tabs>
                <w:tab w:val="clear" w:pos="720"/>
                <w:tab w:val="left" w:pos="252" w:leader="none"/>
                <w:tab w:val="left" w:pos="4482" w:leader="none"/>
              </w:tabs>
              <w:snapToGrid w:val="false"/>
              <w:jc w:val="both"/>
              <w:rPr>
                <w:rFonts w:ascii="Arial Narrow" w:hAnsi="Arial Narrow" w:cs="Arial Narrow"/>
                <w:sz w:val="19"/>
                <w:szCs w:val="19"/>
              </w:rPr>
            </w:pPr>
            <w:r>
              <w:rPr>
                <w:rFonts w:cs="Arial Narrow" w:ascii="Arial Narrow" w:hAnsi="Arial Narrow"/>
                <w:sz w:val="19"/>
                <w:szCs w:val="19"/>
              </w:rPr>
            </w:r>
          </w:p>
        </w:tc>
      </w:tr>
      <w:tr>
        <w:trPr/>
        <w:tc>
          <w:tcPr>
            <w:tcW w:w="4698" w:type="dxa"/>
            <w:tcBorders/>
          </w:tcPr>
          <w:p>
            <w:pPr>
              <w:pStyle w:val="Normal"/>
              <w:widowControl/>
              <w:tabs>
                <w:tab w:val="clear" w:pos="720"/>
                <w:tab w:val="left" w:pos="270" w:leader="none"/>
                <w:tab w:val="left" w:pos="4320" w:leader="none"/>
              </w:tabs>
              <w:snapToGrid w:val="false"/>
              <w:jc w:val="both"/>
              <w:rPr>
                <w:rFonts w:ascii="Arial Narrow" w:hAnsi="Arial Narrow" w:cs="Arial Narrow"/>
                <w:sz w:val="19"/>
                <w:szCs w:val="19"/>
              </w:rPr>
            </w:pPr>
            <w:r>
              <w:rPr>
                <w:rFonts w:cs="Arial Narrow" w:ascii="Arial Narrow" w:hAnsi="Arial Narrow"/>
                <w:sz w:val="19"/>
                <w:szCs w:val="19"/>
              </w:rPr>
            </w:r>
          </w:p>
        </w:tc>
        <w:tc>
          <w:tcPr>
            <w:tcW w:w="4860" w:type="dxa"/>
            <w:tcBorders/>
          </w:tcPr>
          <w:p>
            <w:pPr>
              <w:pStyle w:val="Normal"/>
              <w:widowControl/>
              <w:tabs>
                <w:tab w:val="clear" w:pos="720"/>
                <w:tab w:val="left" w:pos="252" w:leader="none"/>
                <w:tab w:val="left" w:pos="4482" w:leader="none"/>
              </w:tabs>
              <w:snapToGrid w:val="false"/>
              <w:jc w:val="both"/>
              <w:rPr>
                <w:rFonts w:ascii="Arial Narrow" w:hAnsi="Arial Narrow" w:cs="Arial Narrow"/>
                <w:sz w:val="19"/>
                <w:szCs w:val="19"/>
              </w:rPr>
            </w:pPr>
            <w:r>
              <w:rPr>
                <w:rFonts w:cs="Arial Narrow" w:ascii="Arial Narrow" w:hAnsi="Arial Narrow"/>
                <w:sz w:val="19"/>
                <w:szCs w:val="19"/>
              </w:rPr>
            </w:r>
          </w:p>
        </w:tc>
      </w:tr>
      <w:tr>
        <w:trPr/>
        <w:tc>
          <w:tcPr>
            <w:tcW w:w="4698" w:type="dxa"/>
            <w:tcBorders/>
          </w:tcPr>
          <w:p>
            <w:pPr>
              <w:pStyle w:val="Normal"/>
              <w:widowControl/>
              <w:tabs>
                <w:tab w:val="clear" w:pos="720"/>
                <w:tab w:val="left" w:pos="270" w:leader="none"/>
                <w:tab w:val="left" w:pos="4320" w:leader="none"/>
              </w:tabs>
              <w:jc w:val="both"/>
              <w:rPr>
                <w:rFonts w:ascii="Arial Narrow" w:hAnsi="Arial Narrow" w:cs="Arial Narrow"/>
                <w:sz w:val="19"/>
                <w:szCs w:val="19"/>
              </w:rPr>
            </w:pPr>
            <w:r>
              <w:rPr>
                <w:rFonts w:cs="Arial Narrow" w:ascii="Arial Narrow" w:hAnsi="Arial Narrow"/>
                <w:sz w:val="19"/>
                <w:szCs w:val="19"/>
              </w:rPr>
              <w:t>By:</w:t>
              <w:tab/>
            </w:r>
            <w:r>
              <w:rPr>
                <w:rFonts w:cs="Arial Narrow" w:ascii="Arial Narrow" w:hAnsi="Arial Narrow"/>
                <w:sz w:val="19"/>
                <w:szCs w:val="19"/>
                <w:u w:val="single"/>
              </w:rPr>
              <w:tab/>
            </w:r>
          </w:p>
        </w:tc>
        <w:tc>
          <w:tcPr>
            <w:tcW w:w="4860" w:type="dxa"/>
            <w:tcBorders/>
          </w:tcPr>
          <w:p>
            <w:pPr>
              <w:pStyle w:val="Normal"/>
              <w:widowControl/>
              <w:tabs>
                <w:tab w:val="clear" w:pos="720"/>
                <w:tab w:val="left" w:pos="252" w:leader="none"/>
                <w:tab w:val="left" w:pos="4482" w:leader="none"/>
              </w:tabs>
              <w:jc w:val="both"/>
              <w:rPr/>
            </w:pPr>
            <w:r>
              <w:rPr>
                <w:rFonts w:cs="Arial Narrow" w:ascii="Arial Narrow" w:hAnsi="Arial Narrow"/>
                <w:sz w:val="19"/>
                <w:szCs w:val="19"/>
              </w:rPr>
              <w:t>By:</w:t>
            </w:r>
            <w:r>
              <w:rPr>
                <w:rFonts w:cs="Arial Narrow" w:ascii="Arial Narrow" w:hAnsi="Arial Narrow"/>
                <w:sz w:val="19"/>
                <w:szCs w:val="19"/>
                <w:u w:val="single"/>
              </w:rPr>
              <w:tab/>
            </w:r>
            <w:r>
              <w:rPr>
                <w:rFonts w:cs="Arial Narrow" w:ascii="Arial Narrow" w:hAnsi="Arial Narrow"/>
                <w:sz w:val="19"/>
                <w:szCs w:val="19"/>
              </w:rPr>
              <w:t>_______________________________________________</w:t>
            </w:r>
          </w:p>
        </w:tc>
      </w:tr>
      <w:tr>
        <w:trPr/>
        <w:tc>
          <w:tcPr>
            <w:tcW w:w="4698" w:type="dxa"/>
            <w:tcBorders/>
          </w:tcPr>
          <w:p>
            <w:pPr>
              <w:pStyle w:val="Normal"/>
              <w:widowControl/>
              <w:tabs>
                <w:tab w:val="clear" w:pos="720"/>
                <w:tab w:val="left" w:pos="270" w:leader="none"/>
                <w:tab w:val="left" w:pos="4320" w:leader="none"/>
              </w:tabs>
              <w:jc w:val="both"/>
              <w:rPr>
                <w:rFonts w:ascii="Arial Narrow" w:hAnsi="Arial Narrow" w:cs="Arial Narrow"/>
                <w:sz w:val="19"/>
                <w:szCs w:val="19"/>
              </w:rPr>
            </w:pPr>
            <w:r>
              <w:rPr>
                <w:rFonts w:cs="Arial Narrow" w:ascii="Arial Narrow" w:hAnsi="Arial Narrow"/>
                <w:sz w:val="19"/>
                <w:szCs w:val="19"/>
              </w:rPr>
              <w:tab/>
              <w:t>Name:</w:t>
            </w:r>
          </w:p>
        </w:tc>
        <w:tc>
          <w:tcPr>
            <w:tcW w:w="4860" w:type="dxa"/>
            <w:tcBorders/>
          </w:tcPr>
          <w:p>
            <w:pPr>
              <w:pStyle w:val="Normal"/>
              <w:widowControl/>
              <w:tabs>
                <w:tab w:val="clear" w:pos="720"/>
                <w:tab w:val="left" w:pos="252" w:leader="none"/>
                <w:tab w:val="left" w:pos="4482" w:leader="none"/>
              </w:tabs>
              <w:jc w:val="both"/>
              <w:rPr>
                <w:rFonts w:ascii="Arial Narrow" w:hAnsi="Arial Narrow" w:cs="Arial Narrow"/>
                <w:sz w:val="19"/>
                <w:szCs w:val="19"/>
              </w:rPr>
            </w:pPr>
            <w:r>
              <w:rPr>
                <w:rFonts w:cs="Arial Narrow" w:ascii="Arial Narrow" w:hAnsi="Arial Narrow"/>
                <w:sz w:val="19"/>
                <w:szCs w:val="19"/>
              </w:rPr>
              <w:tab/>
              <w:t>Name:</w:t>
            </w:r>
          </w:p>
        </w:tc>
      </w:tr>
      <w:tr>
        <w:trPr/>
        <w:tc>
          <w:tcPr>
            <w:tcW w:w="4698" w:type="dxa"/>
            <w:tcBorders/>
          </w:tcPr>
          <w:p>
            <w:pPr>
              <w:pStyle w:val="Normal"/>
              <w:widowControl/>
              <w:tabs>
                <w:tab w:val="clear" w:pos="720"/>
                <w:tab w:val="left" w:pos="270" w:leader="none"/>
                <w:tab w:val="left" w:pos="4320" w:leader="none"/>
              </w:tabs>
              <w:jc w:val="both"/>
              <w:rPr>
                <w:rFonts w:ascii="Arial Narrow" w:hAnsi="Arial Narrow" w:cs="Arial Narrow"/>
                <w:sz w:val="19"/>
                <w:szCs w:val="19"/>
              </w:rPr>
            </w:pPr>
            <w:r>
              <w:rPr>
                <w:rFonts w:cs="Arial Narrow" w:ascii="Arial Narrow" w:hAnsi="Arial Narrow"/>
                <w:sz w:val="19"/>
                <w:szCs w:val="19"/>
              </w:rPr>
              <w:tab/>
              <w:t>Title:</w:t>
            </w:r>
          </w:p>
        </w:tc>
        <w:tc>
          <w:tcPr>
            <w:tcW w:w="4860" w:type="dxa"/>
            <w:tcBorders/>
          </w:tcPr>
          <w:p>
            <w:pPr>
              <w:pStyle w:val="Normal"/>
              <w:widowControl/>
              <w:tabs>
                <w:tab w:val="clear" w:pos="720"/>
                <w:tab w:val="left" w:pos="252" w:leader="none"/>
                <w:tab w:val="left" w:pos="4482" w:leader="none"/>
              </w:tabs>
              <w:jc w:val="both"/>
              <w:rPr>
                <w:rFonts w:ascii="Arial Narrow" w:hAnsi="Arial Narrow" w:cs="Arial Narrow"/>
                <w:sz w:val="19"/>
                <w:szCs w:val="19"/>
              </w:rPr>
            </w:pPr>
            <w:r>
              <w:rPr>
                <w:rFonts w:cs="Arial Narrow" w:ascii="Arial Narrow" w:hAnsi="Arial Narrow"/>
                <w:sz w:val="19"/>
                <w:szCs w:val="19"/>
              </w:rPr>
              <w:tab/>
              <w:t>Title:</w:t>
            </w:r>
          </w:p>
        </w:tc>
      </w:tr>
    </w:tbl>
    <w:p>
      <w:pPr>
        <w:pStyle w:val="Normal"/>
        <w:widowControl/>
        <w:rPr/>
      </w:pPr>
      <w:r>
        <w:rPr/>
      </w:r>
    </w:p>
    <w:p>
      <w:pPr>
        <w:pStyle w:val="Normal"/>
        <w:widowControl/>
        <w:rPr/>
      </w:pPr>
      <w:r>
        <w:rPr/>
      </w:r>
    </w:p>
    <w:p>
      <w:pPr>
        <w:pStyle w:val="Normal"/>
        <w:widowControl/>
        <w:rPr/>
      </w:pPr>
      <w:r>
        <w:rPr/>
      </w:r>
    </w:p>
    <w:p>
      <w:pPr>
        <w:pStyle w:val="Normal"/>
        <w:widowControl/>
        <w:rPr/>
      </w:pPr>
      <w:r>
        <w:rPr/>
      </w:r>
    </w:p>
    <w:p>
      <w:pPr>
        <w:pStyle w:val="Normal"/>
        <w:widowControl/>
        <w:rPr/>
      </w:pPr>
      <w:r>
        <w:rPr/>
      </w:r>
    </w:p>
    <w:p>
      <w:pPr>
        <w:pStyle w:val="Normal"/>
        <w:widowControl/>
        <w:rPr/>
      </w:pPr>
      <w:r>
        <w:rPr/>
      </w:r>
    </w:p>
    <w:p>
      <w:pPr>
        <w:pStyle w:val="Normal"/>
        <w:widowControl/>
        <w:rPr/>
      </w:pPr>
      <w:r>
        <w:rPr/>
        <w:t xml:space="preserve">This redlined draft, generated by CompareRite (TM) - The Instant Redliner, shows the differences between - </w:t>
      </w:r>
    </w:p>
    <w:p>
      <w:pPr>
        <w:pStyle w:val="Normal"/>
        <w:widowControl/>
        <w:rPr/>
      </w:pPr>
      <w:r>
        <w:rPr/>
        <w:t>original document   : O:\LEGAL\GNEMEC\DENVER\HUBER CIG CONFIRM4.DOC</w:t>
      </w:r>
    </w:p>
    <w:p>
      <w:pPr>
        <w:pStyle w:val="Normal"/>
        <w:widowControl/>
        <w:rPr/>
      </w:pPr>
      <w:r>
        <w:rPr/>
        <w:t>and revised document: O:\LEGAL\GNEMEC\DENVER\AMENDRESTATEHUBER CONFIRM NO1.DOC</w:t>
      </w:r>
    </w:p>
    <w:p>
      <w:pPr>
        <w:pStyle w:val="Normal"/>
        <w:widowControl/>
        <w:rPr/>
      </w:pPr>
      <w:r>
        <w:rPr/>
      </w:r>
    </w:p>
    <w:p>
      <w:pPr>
        <w:pStyle w:val="Normal"/>
        <w:widowControl/>
        <w:rPr/>
      </w:pPr>
      <w:r>
        <w:rPr/>
        <w:t>CompareRite found   12 change(s) in the text</w:t>
      </w:r>
    </w:p>
    <w:p>
      <w:pPr>
        <w:pStyle w:val="Normal"/>
        <w:widowControl/>
        <w:rPr/>
      </w:pPr>
      <w:r>
        <w:rPr/>
      </w:r>
    </w:p>
    <w:p>
      <w:pPr>
        <w:pStyle w:val="Normal"/>
        <w:widowControl/>
        <w:rPr/>
      </w:pPr>
      <w:r>
        <w:rPr/>
        <w:t xml:space="preserve">Deletions appear as Overstrike text </w:t>
      </w:r>
    </w:p>
    <w:p>
      <w:pPr>
        <w:pStyle w:val="Normal"/>
        <w:widowControl/>
        <w:rPr/>
      </w:pPr>
      <w:r>
        <w:rPr/>
        <w:t xml:space="preserve">Additions appear as Bold+Dbl Underline text </w:t>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rFonts w:ascii="Arial" w:hAnsi="Arial" w:cs="Arial"/>
        <w:sz w:val="12"/>
        <w:szCs w:val="12"/>
      </w:rPr>
    </w:pPr>
    <w:r>
      <w:rPr>
        <w:rFonts w:cs="Arial" w:ascii="Arial" w:hAnsi="Arial"/>
        <w:sz w:val="12"/>
        <w:szCs w:val="12"/>
      </w:rPr>
      <w:fldChar w:fldCharType="begin"/>
    </w:r>
    <w:r>
      <w:rPr>
        <w:sz w:val="12"/>
        <w:szCs w:val="12"/>
        <w:rFonts w:cs="Arial" w:ascii="Arial" w:hAnsi="Arial"/>
      </w:rPr>
      <w:instrText xml:space="preserve"> FILENAME \p </w:instrText>
    </w:r>
    <w:r>
      <w:rPr>
        <w:sz w:val="12"/>
        <w:szCs w:val="12"/>
        <w:rFonts w:cs="Arial" w:ascii="Arial" w:hAnsi="Arial"/>
      </w:rPr>
      <w:fldChar w:fldCharType="separate"/>
    </w:r>
    <w:r>
      <w:rPr>
        <w:sz w:val="12"/>
        <w:szCs w:val="12"/>
        <w:rFonts w:cs="Arial" w:ascii="Arial" w:hAnsi="Arial"/>
      </w:rPr>
      <w:t>/mnt/main-storage/datasets/enron-docs/doc/AMENDRESTATEHUBER_CONFIRM_NO1_RED__Trans2.doc</w:t>
    </w:r>
    <w:r>
      <w:rPr>
        <w:sz w:val="12"/>
        <w:szCs w:val="12"/>
        <w:rFonts w:cs="Arial" w:ascii="Arial" w:hAnsi="Arial"/>
      </w:rPr>
      <w:fldChar w:fldCharType="end"/>
    </w:r>
  </w:p>
  <w:p>
    <w:pPr>
      <w:pStyle w:val="Footer"/>
      <w:widowControl/>
      <w:rPr>
        <w:rFonts w:ascii="Arial" w:hAnsi="Arial" w:cs="Arial"/>
        <w:sz w:val="12"/>
        <w:szCs w:val="12"/>
      </w:rPr>
    </w:pPr>
    <w:r>
      <w:rPr>
        <w:rFonts w:cs="Arial" w:ascii="Arial" w:hAnsi="Arial"/>
        <w:sz w:val="12"/>
        <w:szCs w:val="12"/>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sz w:val="16"/>
        <w:szCs w:val="16"/>
      </w:rPr>
    </w:pPr>
    <w:r>
      <w:rPr>
        <w:sz w:val="16"/>
        <w:szCs w:val="16"/>
      </w:rPr>
      <w:fldChar w:fldCharType="begin"/>
    </w:r>
    <w:r>
      <w:rPr>
        <w:sz w:val="16"/>
        <w:szCs w:val="16"/>
      </w:rPr>
      <w:instrText xml:space="preserve"> FILENAME </w:instrText>
    </w:r>
    <w:r>
      <w:rPr>
        <w:sz w:val="16"/>
        <w:szCs w:val="16"/>
      </w:rPr>
      <w:fldChar w:fldCharType="separate"/>
    </w:r>
    <w:r>
      <w:rPr>
        <w:sz w:val="16"/>
        <w:szCs w:val="16"/>
      </w:rPr>
      <w:t>AMENDRESTATEHUBER_CONFIRM_NO1_RED__Trans2.doc</w:t>
    </w:r>
    <w:r>
      <w:rPr>
        <w:sz w:val="16"/>
        <w:szCs w:val="16"/>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rPr>
        <w:rFonts w:ascii="Arial Narrow" w:hAnsi="Arial Narrow" w:cs="Arial Narrow"/>
        <w:sz w:val="19"/>
        <w:szCs w:val="19"/>
      </w:rPr>
    </w:pPr>
    <w:r>
      <w:rPr>
        <w:rFonts w:cs="Arial Narrow" w:ascii="Arial Narrow" w:hAnsi="Arial Narrow"/>
        <w:sz w:val="19"/>
        <w:szCs w:val="19"/>
      </w:rPr>
      <w:t>J. M. Huber Corporation</w:t>
    </w:r>
  </w:p>
  <w:p>
    <w:pPr>
      <w:pStyle w:val="Normal"/>
      <w:widowControl/>
      <w:rPr>
        <w:rFonts w:ascii="Arial Narrow" w:hAnsi="Arial Narrow" w:cs="Arial Narrow"/>
        <w:sz w:val="19"/>
        <w:szCs w:val="19"/>
      </w:rPr>
    </w:pPr>
    <w:r>
      <w:rPr>
        <w:rFonts w:cs="Arial Narrow" w:ascii="Arial Narrow" w:hAnsi="Arial Narrow"/>
        <w:sz w:val="19"/>
        <w:szCs w:val="19"/>
      </w:rPr>
      <w:t>September 25, 2000</w:t>
    </w:r>
  </w:p>
  <w:p>
    <w:pPr>
      <w:pStyle w:val="Normal"/>
      <w:widowControl/>
      <w:rPr/>
    </w:pPr>
    <w:r>
      <w:rPr>
        <w:rFonts w:cs="Arial Narrow" w:ascii="Arial Narrow" w:hAnsi="Arial Narrow"/>
        <w:sz w:val="19"/>
        <w:szCs w:val="19"/>
      </w:rPr>
      <w:t xml:space="preserve">Page </w:t>
    </w:r>
    <w:r>
      <w:rPr>
        <w:rStyle w:val="PageNumber"/>
        <w:rFonts w:cs="Arial Narrow" w:ascii="Arial Narrow" w:hAnsi="Arial Narrow"/>
        <w:sz w:val="19"/>
        <w:szCs w:val="19"/>
      </w:rPr>
      <w:fldChar w:fldCharType="begin"/>
    </w:r>
    <w:r>
      <w:rPr>
        <w:rStyle w:val="PageNumber"/>
        <w:sz w:val="19"/>
        <w:szCs w:val="19"/>
        <w:rFonts w:cs="Arial Narrow" w:ascii="Arial Narrow" w:hAnsi="Arial Narrow"/>
      </w:rPr>
      <w:instrText xml:space="preserve"> PAGE </w:instrText>
    </w:r>
    <w:r>
      <w:rPr>
        <w:rStyle w:val="PageNumber"/>
        <w:sz w:val="19"/>
        <w:szCs w:val="19"/>
        <w:rFonts w:cs="Arial Narrow" w:ascii="Arial Narrow" w:hAnsi="Arial Narrow"/>
      </w:rPr>
      <w:fldChar w:fldCharType="separate"/>
    </w:r>
    <w:r>
      <w:rPr>
        <w:rStyle w:val="PageNumber"/>
        <w:sz w:val="19"/>
        <w:szCs w:val="19"/>
        <w:rFonts w:cs="Arial Narrow" w:ascii="Arial Narrow" w:hAnsi="Arial Narrow"/>
      </w:rPr>
      <w:t>4</w:t>
    </w:r>
    <w:r>
      <w:rPr>
        <w:rStyle w:val="PageNumber"/>
        <w:sz w:val="19"/>
        <w:szCs w:val="19"/>
        <w:rFonts w:cs="Arial Narrow" w:ascii="Arial Narrow" w:hAnsi="Arial Narrow"/>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jc w:val="center"/>
      <w:rPr>
        <w:b/>
        <w:bCs/>
      </w:rPr>
    </w:pPr>
    <w:r>
      <w:rPr>
        <w:b/>
        <w:bCs/>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autoSpaceDE w:val="false"/>
      <w:bidi w:val="0"/>
    </w:pPr>
    <w:rPr>
      <w:rFonts w:ascii="Times New Roman" w:hAnsi="Times New Roman" w:eastAsia="Times New Roman" w:cs="Times New Roman"/>
      <w:color w:val="auto"/>
      <w:sz w:val="20"/>
      <w:szCs w:val="24"/>
      <w:lang w:val="en-US" w:bidi="ar-SA" w:eastAsia="zh-CN"/>
    </w:rPr>
  </w:style>
  <w:style w:type="paragraph" w:styleId="Heading1">
    <w:name w:val="heading 1"/>
    <w:basedOn w:val="Normal"/>
    <w:next w:val="Normal"/>
    <w:qFormat/>
    <w:pPr>
      <w:keepNext w:val="true"/>
      <w:numPr>
        <w:ilvl w:val="0"/>
        <w:numId w:val="1"/>
      </w:numPr>
      <w:jc w:val="end"/>
      <w:outlineLvl w:val="0"/>
    </w:pPr>
    <w:rPr>
      <w:rFonts w:ascii="Arial Narrow" w:hAnsi="Arial Narrow" w:cs="Arial Narrow"/>
      <w:b/>
      <w:bCs/>
      <w:sz w:val="22"/>
      <w:szCs w:val="22"/>
    </w:rPr>
  </w:style>
  <w:style w:type="character" w:styleId="DefaultParagraphFont">
    <w:name w:val="Default Paragraph Font"/>
    <w:qFormat/>
    <w:rPr/>
  </w:style>
  <w:style w:type="character" w:styleId="PageNumber">
    <w:name w:val="page number"/>
    <w:basedOn w:val="DefaultParagraphFont"/>
    <w:rPr>
      <w:szCs w:val="20"/>
    </w:rPr>
  </w:style>
  <w:style w:type="paragraph" w:styleId="Heading">
    <w:name w:val="Heading"/>
    <w:basedOn w:val="Normal"/>
    <w:next w:val="BodyText"/>
    <w:qFormat/>
    <w:pPr/>
    <w:rPr>
      <w:rFonts w:ascii="Arial" w:hAnsi="Arial" w:cs="Arial"/>
      <w:b/>
      <w:bCs/>
    </w:rPr>
  </w:style>
  <w:style w:type="paragraph" w:styleId="BodyText">
    <w:name w:val="Body Text"/>
    <w:basedOn w:val="Normal"/>
    <w:pPr>
      <w:jc w:val="both"/>
    </w:pPr>
    <w:rPr>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 w:val="26"/>
      <w:szCs w:val="26"/>
    </w:rPr>
  </w:style>
  <w:style w:type="paragraph" w:styleId="BodyTextIndent">
    <w:name w:val="Body Text Indent"/>
    <w:basedOn w:val="Normal"/>
    <w:pPr>
      <w:tabs>
        <w:tab w:val="clear" w:pos="720"/>
        <w:tab w:val="left" w:pos="8640" w:leader="none"/>
      </w:tabs>
      <w:ind w:hanging="4320" w:start="4680" w:end="0"/>
      <w:jc w:val="both"/>
    </w:pPr>
    <w:rPr>
      <w:rFonts w:ascii="Arial Narrow" w:hAnsi="Arial Narrow" w:cs="Arial Narrow"/>
      <w:sz w:val="18"/>
      <w:szCs w:val="18"/>
    </w:rPr>
  </w:style>
  <w:style w:type="paragraph" w:styleId="BodyTextIndent2">
    <w:name w:val="Body Text Indent 2"/>
    <w:basedOn w:val="Normal"/>
    <w:qFormat/>
    <w:pPr>
      <w:ind w:hanging="0" w:start="4680" w:end="0"/>
      <w:jc w:val="both"/>
    </w:pPr>
    <w:rPr>
      <w:rFonts w:ascii="Arial Narrow" w:hAnsi="Arial Narrow" w:cs="Arial Narrow"/>
      <w:sz w:val="19"/>
      <w:szCs w:val="19"/>
    </w:rPr>
  </w:style>
  <w:style w:type="paragraph" w:styleId="Header">
    <w:name w:val="head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2000-10-20T13:18:00Z</dcterms:created>
  <dc:creator>dhyvl</dc:creator>
  <dc:description/>
  <dc:language>en-CA</dc:language>
  <cp:lastModifiedBy>gnemec</cp:lastModifiedBy>
  <cp:lastPrinted>2000-10-19T18:49:00Z</cp:lastPrinted>
  <dcterms:modified xsi:type="dcterms:W3CDTF">2000-10-20T13:18:00Z</dcterms:modified>
  <cp:revision>2</cp:revision>
  <dc:subject/>
  <dc:title>June 1,  2000</dc:title>
</cp:coreProperties>
</file>