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AMENDMENT AGREEMENT</w:t>
      </w:r>
    </w:p>
    <w:p>
      <w:pPr>
        <w:pStyle w:val="Normal"/>
        <w:jc w:val="both"/>
        <w:rPr>
          <w:sz w:val="22"/>
        </w:rPr>
      </w:pPr>
      <w:r>
        <w:rPr>
          <w:sz w:val="22"/>
        </w:rPr>
      </w:r>
    </w:p>
    <w:p>
      <w:pPr>
        <w:pStyle w:val="Normal"/>
        <w:jc w:val="both"/>
        <w:rPr>
          <w:sz w:val="22"/>
        </w:rPr>
      </w:pPr>
      <w:r>
        <w:rPr>
          <w:sz w:val="22"/>
        </w:rPr>
      </w:r>
    </w:p>
    <w:p>
      <w:pPr>
        <w:pStyle w:val="BodyText"/>
        <w:jc w:val="both"/>
        <w:rPr/>
      </w:pPr>
      <w:r>
        <w:rPr/>
        <w:tab/>
        <w:t>This Amendment Agreement dated effective as of April 5, 2001, is made by and among Enron North America Corp. (“ENA”), Williams Energy Marketing &amp; Trading Company (“Counterparty”) and Mercado Gas Services, Inc. (“Mercado”).</w:t>
      </w:r>
    </w:p>
    <w:p>
      <w:pPr>
        <w:pStyle w:val="Normal"/>
        <w:jc w:val="both"/>
        <w:rPr>
          <w:sz w:val="22"/>
        </w:rPr>
      </w:pPr>
      <w:r>
        <w:rPr>
          <w:sz w:val="22"/>
        </w:rPr>
      </w:r>
    </w:p>
    <w:p>
      <w:pPr>
        <w:pStyle w:val="Normal"/>
        <w:jc w:val="both"/>
        <w:rPr>
          <w:sz w:val="22"/>
        </w:rPr>
      </w:pPr>
      <w:r>
        <w:rPr>
          <w:sz w:val="22"/>
        </w:rPr>
      </w:r>
    </w:p>
    <w:p>
      <w:pPr>
        <w:pStyle w:val="Heading1"/>
        <w:ind w:hanging="0" w:start="0"/>
        <w:rPr/>
      </w:pPr>
      <w:r>
        <w:rPr/>
        <w:t>WITNESSETH</w:t>
      </w:r>
    </w:p>
    <w:p>
      <w:pPr>
        <w:pStyle w:val="Normal"/>
        <w:jc w:val="center"/>
        <w:rPr>
          <w:b/>
          <w:sz w:val="22"/>
        </w:rPr>
      </w:pPr>
      <w:r>
        <w:rPr>
          <w:b/>
          <w:sz w:val="22"/>
        </w:rPr>
      </w:r>
    </w:p>
    <w:p>
      <w:pPr>
        <w:pStyle w:val="BodyText2"/>
        <w:rPr/>
      </w:pPr>
      <w:r>
        <w:rPr/>
        <w:t>WHEREAS, ENA, Counterparty and Mercado are parties to that certain Assignment Agreement dated as of April 5, 2001 whereby Mercado assigned its interest in certain transactions described on Schedule ! attached thereto to Counterparty (the “Transactions”).</w:t>
      </w:r>
    </w:p>
    <w:p>
      <w:pPr>
        <w:pStyle w:val="Normal"/>
        <w:jc w:val="both"/>
        <w:rPr>
          <w:sz w:val="22"/>
        </w:rPr>
      </w:pPr>
      <w:r>
        <w:rPr>
          <w:sz w:val="22"/>
        </w:rPr>
      </w:r>
    </w:p>
    <w:p>
      <w:pPr>
        <w:pStyle w:val="Normal"/>
        <w:jc w:val="both"/>
        <w:rPr>
          <w:sz w:val="22"/>
        </w:rPr>
      </w:pPr>
      <w:r>
        <w:rPr>
          <w:sz w:val="22"/>
        </w:rPr>
        <w:t>WHEREAS, ENA and Counterparty desire to amend the Transactions (the “Amended Transactions”) and Mercado desires to appear for the purpose of acknowledging a payment obligation with respect to certain of those Transactions.</w:t>
      </w:r>
    </w:p>
    <w:p>
      <w:pPr>
        <w:pStyle w:val="Normal"/>
        <w:jc w:val="both"/>
        <w:rPr>
          <w:sz w:val="22"/>
        </w:rPr>
      </w:pPr>
      <w:r>
        <w:rPr>
          <w:sz w:val="22"/>
        </w:rPr>
      </w:r>
    </w:p>
    <w:p>
      <w:pPr>
        <w:pStyle w:val="BodyText2"/>
        <w:rPr/>
      </w:pPr>
      <w:r>
        <w:rPr/>
        <w:t>NOW, THEREFORE, in consideration of the premises and of the mutual agreements herein contained, the parties hereto agree as follows:</w:t>
      </w:r>
    </w:p>
    <w:p>
      <w:pPr>
        <w:pStyle w:val="Normal"/>
        <w:jc w:val="both"/>
        <w:rPr>
          <w:sz w:val="22"/>
        </w:rPr>
      </w:pPr>
      <w:r>
        <w:rPr>
          <w:sz w:val="22"/>
        </w:rPr>
      </w:r>
    </w:p>
    <w:p>
      <w:pPr>
        <w:pStyle w:val="Normal"/>
        <w:numPr>
          <w:ilvl w:val="0"/>
          <w:numId w:val="3"/>
        </w:numPr>
        <w:tabs>
          <w:tab w:val="clear" w:pos="720"/>
          <w:tab w:val="left" w:pos="90" w:leader="none"/>
        </w:tabs>
        <w:ind w:hanging="630" w:start="720" w:end="0"/>
        <w:jc w:val="both"/>
        <w:rPr>
          <w:sz w:val="22"/>
        </w:rPr>
      </w:pPr>
      <w:r>
        <w:rPr>
          <w:sz w:val="22"/>
          <w:u w:val="single"/>
        </w:rPr>
        <w:t xml:space="preserve">Termination of Enron Commodity Swap Numbers NF1164.E and NF1164.F.  </w:t>
      </w:r>
      <w:r>
        <w:rPr>
          <w:sz w:val="22"/>
        </w:rPr>
        <w:t>Effective as of April</w:t>
      </w:r>
      <w:r>
        <w:rPr>
          <w:sz w:val="22"/>
          <w:u w:val="single"/>
        </w:rPr>
        <w:t xml:space="preserve"> </w:t>
      </w:r>
      <w:r>
        <w:rPr>
          <w:sz w:val="22"/>
        </w:rPr>
        <w:t>5, 2001, each of ENA and Counterparty acknowledge that it has</w:t>
      </w:r>
      <w:r>
        <w:rPr>
          <w:sz w:val="22"/>
          <w:u w:val="single"/>
        </w:rPr>
        <w:t xml:space="preserve"> </w:t>
      </w:r>
      <w:r>
        <w:rPr>
          <w:sz w:val="22"/>
        </w:rPr>
        <w:t>received payment in full of all obligations owed it by the other party to Enron Commodity Swap Numbers. NF1164.E and NF1164.F and hereby terminate theses two Transactions (the “Terminated Transactions”).</w:t>
      </w:r>
    </w:p>
    <w:p>
      <w:pPr>
        <w:pStyle w:val="Normal"/>
        <w:tabs>
          <w:tab w:val="clear" w:pos="720"/>
          <w:tab w:val="left" w:pos="180" w:leader="none"/>
        </w:tabs>
        <w:ind w:start="90" w:end="0"/>
        <w:jc w:val="both"/>
        <w:rPr>
          <w:sz w:val="22"/>
        </w:rPr>
      </w:pPr>
      <w:r>
        <w:rPr>
          <w:sz w:val="22"/>
        </w:rPr>
      </w:r>
    </w:p>
    <w:p>
      <w:pPr>
        <w:pStyle w:val="Normal"/>
        <w:numPr>
          <w:ilvl w:val="0"/>
          <w:numId w:val="3"/>
        </w:numPr>
        <w:tabs>
          <w:tab w:val="clear" w:pos="720"/>
        </w:tabs>
        <w:ind w:hanging="0" w:start="90" w:end="0"/>
        <w:jc w:val="both"/>
        <w:rPr>
          <w:sz w:val="22"/>
        </w:rPr>
      </w:pPr>
      <w:r>
        <w:rPr>
          <w:sz w:val="22"/>
          <w:u w:val="single"/>
        </w:rPr>
        <w:t>Amended Volumes and ENA Deal Numbers.</w:t>
      </w:r>
      <w:r>
        <w:rPr>
          <w:sz w:val="22"/>
        </w:rPr>
        <w:t xml:space="preserve">  Effective as of April 5, 2001, each of ENA and Counterparty agree to amend Enron Commodity Swap Numbers NF1164.I, NF1164.1, NF1164.4 and NF1164.D (the “Remaining Transactions”) to:</w:t>
      </w:r>
    </w:p>
    <w:p>
      <w:pPr>
        <w:pStyle w:val="Normal"/>
        <w:jc w:val="both"/>
        <w:rPr>
          <w:sz w:val="22"/>
        </w:rPr>
      </w:pPr>
      <w:r>
        <w:rPr>
          <w:sz w:val="22"/>
        </w:rPr>
      </w:r>
    </w:p>
    <w:p>
      <w:pPr>
        <w:pStyle w:val="Normal"/>
        <w:numPr>
          <w:ilvl w:val="1"/>
          <w:numId w:val="3"/>
        </w:numPr>
        <w:jc w:val="both"/>
        <w:rPr>
          <w:sz w:val="22"/>
        </w:rPr>
      </w:pPr>
      <w:r>
        <w:rPr>
          <w:sz w:val="22"/>
        </w:rPr>
        <w:t>to provide new ENA Deal Numbers for the Remaining Transactions as more fully set forth on Schedule I attached hereto and made a part hereof for all purposes, and</w:t>
      </w:r>
    </w:p>
    <w:p>
      <w:pPr>
        <w:pStyle w:val="Normal"/>
        <w:numPr>
          <w:ilvl w:val="1"/>
          <w:numId w:val="3"/>
        </w:numPr>
        <w:jc w:val="both"/>
        <w:rPr>
          <w:sz w:val="22"/>
        </w:rPr>
      </w:pPr>
      <w:r>
        <w:rPr>
          <w:sz w:val="22"/>
        </w:rPr>
        <w:t>to increase or reduce certain volumes for New ENA Deal Numbers V30255.3 and V30255.4 as more fully set forth on Schedule I attached hereto and made a part hereof for all purposes.</w:t>
      </w:r>
    </w:p>
    <w:p>
      <w:pPr>
        <w:pStyle w:val="Normal"/>
        <w:jc w:val="both"/>
        <w:rPr>
          <w:sz w:val="22"/>
        </w:rPr>
      </w:pPr>
      <w:r>
        <w:rPr>
          <w:sz w:val="22"/>
        </w:rPr>
      </w:r>
    </w:p>
    <w:p>
      <w:pPr>
        <w:pStyle w:val="Normal"/>
        <w:numPr>
          <w:ilvl w:val="0"/>
          <w:numId w:val="3"/>
        </w:numPr>
        <w:tabs>
          <w:tab w:val="clear" w:pos="720"/>
          <w:tab w:val="left" w:pos="180" w:leader="none"/>
        </w:tabs>
        <w:ind w:hanging="540" w:start="720" w:end="0"/>
        <w:jc w:val="both"/>
        <w:rPr>
          <w:sz w:val="22"/>
        </w:rPr>
      </w:pPr>
      <w:r>
        <w:rPr>
          <w:sz w:val="22"/>
          <w:u w:val="single"/>
        </w:rPr>
        <w:t>Consent and Acknowledgement of Mercado</w:t>
      </w:r>
      <w:r>
        <w:rPr>
          <w:sz w:val="22"/>
        </w:rPr>
        <w:t>.  Mercado hereby acknowledges that as partial consideration for executing the Assignment and Assumption Agreement dated April 5, 2001, it agreed to assume the April, 2001 payment owed to ENA under Enron Deal Number NF1164.1 and appears herein to consent to assume that obligation.</w:t>
      </w:r>
    </w:p>
    <w:p>
      <w:pPr>
        <w:pStyle w:val="Normal"/>
        <w:tabs>
          <w:tab w:val="clear" w:pos="720"/>
          <w:tab w:val="left" w:pos="180" w:leader="none"/>
        </w:tabs>
        <w:jc w:val="both"/>
        <w:rPr>
          <w:sz w:val="22"/>
        </w:rPr>
      </w:pPr>
      <w:r>
        <w:rPr>
          <w:sz w:val="22"/>
        </w:rPr>
      </w:r>
    </w:p>
    <w:p>
      <w:pPr>
        <w:pStyle w:val="Normal"/>
        <w:ind w:start="90" w:end="0"/>
        <w:jc w:val="both"/>
        <w:rPr/>
      </w:pPr>
      <w:r>
        <w:rPr>
          <w:sz w:val="22"/>
        </w:rPr>
        <w:t>4.</w:t>
        <w:tab/>
      </w:r>
      <w:r>
        <w:rPr>
          <w:sz w:val="22"/>
          <w:u w:val="single"/>
        </w:rPr>
        <w:t>Representation</w:t>
      </w:r>
      <w:r>
        <w:rPr>
          <w:sz w:val="22"/>
        </w:rPr>
        <w:t>.  Each of the ENA, Counterparty and Mercado hereby represents and warrants to the other parties hereto that the execution, delivery and performance hereof by it are within its corporate powers, and have been duly authorized by all necessary corporate or other action and that this Amendment Agreement constitutes its legal, valid and binding obligation.</w:t>
      </w:r>
    </w:p>
    <w:p>
      <w:pPr>
        <w:pStyle w:val="Normal"/>
        <w:numPr>
          <w:ilvl w:val="0"/>
          <w:numId w:val="0"/>
        </w:numPr>
        <w:ind w:hanging="360" w:start="360" w:end="0"/>
        <w:jc w:val="both"/>
        <w:rPr>
          <w:sz w:val="22"/>
        </w:rPr>
      </w:pPr>
      <w:r>
        <w:rPr>
          <w:sz w:val="22"/>
        </w:rPr>
      </w:r>
    </w:p>
    <w:p>
      <w:pPr>
        <w:pStyle w:val="Normal"/>
        <w:ind w:start="90" w:end="0"/>
        <w:jc w:val="both"/>
        <w:rPr/>
      </w:pPr>
      <w:r>
        <w:rPr>
          <w:sz w:val="22"/>
        </w:rPr>
        <w:t>5.</w:t>
        <w:tab/>
      </w:r>
      <w:r>
        <w:rPr>
          <w:sz w:val="22"/>
          <w:u w:val="single"/>
        </w:rPr>
        <w:t>Governing Law</w:t>
      </w:r>
      <w:r>
        <w:rPr>
          <w:sz w:val="22"/>
        </w:rPr>
        <w:t>.  This Assignment Agreement shall be governed by and construed in accordance with the laws of the State of New York.</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Counterparts</w:t>
      </w:r>
      <w:r>
        <w:rPr>
          <w:sz w:val="22"/>
        </w:rPr>
        <w:t>.  This Amendment Agreement may be executed in any number of counterparts, each of which shall be deemed an original instrument and all of which when taken together shall constitute one and the same agreement.</w:t>
      </w:r>
    </w:p>
    <w:p>
      <w:pPr>
        <w:pStyle w:val="Normal"/>
        <w:numPr>
          <w:ilvl w:val="0"/>
          <w:numId w:val="0"/>
        </w:numPr>
        <w:ind w:hanging="360" w:start="360" w:end="0"/>
        <w:jc w:val="both"/>
        <w:rPr>
          <w:sz w:val="22"/>
        </w:rPr>
      </w:pPr>
      <w:r>
        <w:rPr>
          <w:sz w:val="22"/>
        </w:rPr>
      </w:r>
    </w:p>
    <w:p>
      <w:pPr>
        <w:pStyle w:val="Normal"/>
        <w:jc w:val="both"/>
        <w:rPr>
          <w:b/>
          <w:sz w:val="22"/>
        </w:rPr>
      </w:pPr>
      <w:r>
        <w:rPr>
          <w:b/>
          <w:sz w:val="22"/>
        </w:rPr>
      </w:r>
    </w:p>
    <w:p>
      <w:pPr>
        <w:pStyle w:val="Normal"/>
        <w:jc w:val="both"/>
        <w:rPr/>
      </w:pPr>
      <w:r>
        <w:rPr>
          <w:b/>
          <w:sz w:val="22"/>
        </w:rPr>
        <w:tab/>
      </w:r>
      <w:r>
        <w:rPr>
          <w:sz w:val="22"/>
        </w:rPr>
        <w:t>IN WITNESS WHEREOF, the parties hereto have executed this Assignment Agreement as of the date first above written.</w:t>
      </w:r>
    </w:p>
    <w:p>
      <w:pPr>
        <w:pStyle w:val="Normal"/>
        <w:jc w:val="both"/>
        <w:rPr>
          <w:sz w:val="22"/>
        </w:rPr>
      </w:pPr>
      <w:r>
        <w:rPr>
          <w:sz w:val="22"/>
        </w:rPr>
      </w:r>
    </w:p>
    <w:p>
      <w:pPr>
        <w:pStyle w:val="Normal"/>
        <w:ind w:start="4320" w:end="0"/>
        <w:jc w:val="both"/>
        <w:rPr>
          <w:sz w:val="22"/>
        </w:rPr>
      </w:pPr>
      <w:r>
        <w:rPr>
          <w:sz w:val="22"/>
        </w:rPr>
        <w:t>ENRON NORTH AMERICA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sz w:val="22"/>
        </w:rPr>
      </w:pPr>
      <w:r>
        <w:rPr>
          <w:sz w:val="22"/>
        </w:rPr>
        <w:t>WILLIAMS ENERGY MARKETING &amp; TRADING COMPANY]</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sz w:val="22"/>
        </w:rPr>
      </w:pPr>
      <w:r>
        <w:rPr>
          <w:sz w:val="22"/>
        </w:rPr>
        <w:t>MERCADO GAS SERVICES, INC.</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rPr>
          <w:sz w:val="22"/>
        </w:rPr>
      </w:pPr>
      <w:r>
        <w:rPr>
          <w:sz w:val="22"/>
        </w:rPr>
        <w:t>Enron Capital &amp; Trade Resources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tabs>
          <w:tab w:val="clear" w:pos="720"/>
          <w:tab w:val="left" w:pos="180" w:leader="none"/>
        </w:tabs>
        <w:jc w:val="both"/>
        <w:rPr>
          <w:sz w:val="22"/>
        </w:rPr>
      </w:pPr>
      <w:r>
        <w:rPr>
          <w:sz w:val="22"/>
        </w:rPr>
      </w:r>
    </w:p>
    <w:p>
      <w:pPr>
        <w:pStyle w:val="Normal"/>
        <w:jc w:val="both"/>
        <w:rPr>
          <w:sz w:val="22"/>
        </w:rPr>
      </w:pPr>
      <w:r>
        <w:rPr>
          <w:sz w:val="22"/>
        </w:rPr>
      </w:r>
    </w:p>
    <w:p>
      <w:pPr>
        <w:pStyle w:val="Normal"/>
        <w:jc w:val="both"/>
        <w:rPr>
          <w:sz w:val="22"/>
        </w:rPr>
      </w:pPr>
      <w:r>
        <w:rPr>
          <w:sz w:val="22"/>
        </w:rPr>
      </w:r>
      <w:r>
        <w:br w:type="page"/>
      </w:r>
    </w:p>
    <w:p>
      <w:pPr>
        <w:pStyle w:val="Normal"/>
        <w:jc w:val="both"/>
        <w:rPr>
          <w:sz w:val="22"/>
        </w:rPr>
      </w:pPr>
      <w:r>
        <w:rPr>
          <w:sz w:val="22"/>
        </w:rPr>
      </w:r>
    </w:p>
    <w:p>
      <w:pPr>
        <w:pStyle w:val="Heading1"/>
        <w:ind w:hanging="0" w:start="0"/>
        <w:rPr/>
      </w:pPr>
      <w:r>
        <w:rPr/>
        <w:t>SCHEDULE I</w:t>
      </w:r>
    </w:p>
    <w:p>
      <w:pPr>
        <w:pStyle w:val="Normal"/>
        <w:jc w:val="center"/>
        <w:rPr>
          <w:b/>
          <w:sz w:val="22"/>
        </w:rPr>
      </w:pPr>
      <w:r>
        <w:rPr>
          <w:b/>
          <w:sz w:val="22"/>
        </w:rPr>
      </w:r>
    </w:p>
    <w:p>
      <w:pPr>
        <w:pStyle w:val="BodyText3"/>
        <w:jc w:val="center"/>
        <w:rPr/>
      </w:pPr>
      <w:r>
        <w:rPr/>
        <w:t>Documents assigned to Williams Energy Marketing &amp; Trading Company from Mercado Gas Services, Inc. amended as follows:</w:t>
      </w:r>
    </w:p>
    <w:p>
      <w:pPr>
        <w:pStyle w:val="BodyText3"/>
        <w:jc w:val="center"/>
        <w:rPr/>
      </w:pPr>
      <w:r>
        <w:rPr/>
      </w:r>
    </w:p>
    <w:tbl>
      <w:tblPr>
        <w:tblW w:w="10710" w:type="dxa"/>
        <w:jc w:val="start"/>
        <w:tblInd w:w="-972" w:type="dxa"/>
        <w:tblLayout w:type="fixed"/>
        <w:tblCellMar>
          <w:top w:w="0" w:type="dxa"/>
          <w:start w:w="108" w:type="dxa"/>
          <w:bottom w:w="0" w:type="dxa"/>
          <w:end w:w="108" w:type="dxa"/>
        </w:tblCellMar>
      </w:tblPr>
      <w:tblGrid>
        <w:gridCol w:w="1638"/>
        <w:gridCol w:w="1872"/>
        <w:gridCol w:w="1890"/>
        <w:gridCol w:w="1530"/>
        <w:gridCol w:w="1890"/>
        <w:gridCol w:w="1890"/>
      </w:tblGrid>
      <w:tr>
        <w:trPr/>
        <w:tc>
          <w:tcPr>
            <w:tcW w:w="1638" w:type="dxa"/>
            <w:tcBorders/>
          </w:tcPr>
          <w:p>
            <w:pPr>
              <w:pStyle w:val="BodyText3"/>
              <w:snapToGrid w:val="false"/>
              <w:rPr>
                <w:b w:val="false"/>
              </w:rPr>
            </w:pPr>
            <w:r>
              <w:rPr>
                <w:b w:val="false"/>
              </w:rPr>
            </w:r>
          </w:p>
          <w:p>
            <w:pPr>
              <w:pStyle w:val="BodyText3"/>
              <w:rPr>
                <w:b w:val="false"/>
              </w:rPr>
            </w:pPr>
            <w:r>
              <w:rPr>
                <w:b w:val="false"/>
              </w:rPr>
              <w:t>Original ENA</w:t>
            </w:r>
          </w:p>
          <w:p>
            <w:pPr>
              <w:pStyle w:val="BodyText3"/>
              <w:rPr>
                <w:b w:val="false"/>
                <w:u w:val="single"/>
              </w:rPr>
            </w:pPr>
            <w:r>
              <w:rPr>
                <w:b w:val="false"/>
                <w:u w:val="single"/>
              </w:rPr>
              <w:t>Deal Numbers:</w:t>
            </w:r>
          </w:p>
        </w:tc>
        <w:tc>
          <w:tcPr>
            <w:tcW w:w="1872" w:type="dxa"/>
            <w:tcBorders/>
          </w:tcPr>
          <w:p>
            <w:pPr>
              <w:pStyle w:val="BodyText3"/>
              <w:jc w:val="center"/>
              <w:rPr>
                <w:b w:val="false"/>
              </w:rPr>
            </w:pPr>
            <w:r>
              <w:rPr>
                <w:b w:val="false"/>
              </w:rPr>
              <w:t>Original</w:t>
            </w:r>
          </w:p>
          <w:p>
            <w:pPr>
              <w:pStyle w:val="BodyText3"/>
              <w:jc w:val="center"/>
              <w:rPr>
                <w:b w:val="false"/>
              </w:rPr>
            </w:pPr>
            <w:r>
              <w:rPr>
                <w:b w:val="false"/>
              </w:rPr>
              <w:t>Notional Quantity</w:t>
            </w:r>
          </w:p>
          <w:p>
            <w:pPr>
              <w:pStyle w:val="BodyText3"/>
              <w:jc w:val="center"/>
              <w:rPr>
                <w:b w:val="false"/>
                <w:u w:val="single"/>
              </w:rPr>
            </w:pPr>
            <w:r>
              <w:rPr>
                <w:b w:val="false"/>
                <w:u w:val="single"/>
              </w:rPr>
              <w:t>(MMBtu/day)</w:t>
            </w:r>
          </w:p>
        </w:tc>
        <w:tc>
          <w:tcPr>
            <w:tcW w:w="1890" w:type="dxa"/>
            <w:tcBorders/>
          </w:tcPr>
          <w:p>
            <w:pPr>
              <w:pStyle w:val="BodyText3"/>
              <w:snapToGrid w:val="false"/>
              <w:jc w:val="center"/>
              <w:rPr>
                <w:b w:val="false"/>
                <w:u w:val="single"/>
              </w:rPr>
            </w:pPr>
            <w:r>
              <w:rPr>
                <w:b w:val="false"/>
                <w:u w:val="single"/>
              </w:rPr>
            </w:r>
          </w:p>
          <w:p>
            <w:pPr>
              <w:pStyle w:val="BodyText3"/>
              <w:jc w:val="center"/>
              <w:rPr>
                <w:b w:val="false"/>
              </w:rPr>
            </w:pPr>
            <w:r>
              <w:rPr>
                <w:b w:val="false"/>
              </w:rPr>
              <w:t>Calculation</w:t>
            </w:r>
          </w:p>
          <w:p>
            <w:pPr>
              <w:pStyle w:val="BodyText3"/>
              <w:jc w:val="center"/>
              <w:rPr>
                <w:b w:val="false"/>
                <w:u w:val="single"/>
              </w:rPr>
            </w:pPr>
            <w:r>
              <w:rPr>
                <w:b w:val="false"/>
                <w:u w:val="single"/>
              </w:rPr>
              <w:t>Period(s)</w:t>
            </w:r>
          </w:p>
        </w:tc>
        <w:tc>
          <w:tcPr>
            <w:tcW w:w="1530" w:type="dxa"/>
            <w:tcBorders/>
          </w:tcPr>
          <w:p>
            <w:pPr>
              <w:pStyle w:val="BodyText3"/>
              <w:snapToGrid w:val="false"/>
              <w:jc w:val="center"/>
              <w:rPr>
                <w:b w:val="false"/>
                <w:u w:val="single"/>
              </w:rPr>
            </w:pPr>
            <w:r>
              <w:rPr>
                <w:b w:val="false"/>
                <w:u w:val="single"/>
              </w:rPr>
            </w:r>
          </w:p>
          <w:p>
            <w:pPr>
              <w:pStyle w:val="BodyText3"/>
              <w:jc w:val="center"/>
              <w:rPr>
                <w:b w:val="false"/>
              </w:rPr>
            </w:pPr>
            <w:r>
              <w:rPr>
                <w:b w:val="false"/>
              </w:rPr>
              <w:t>New ENA</w:t>
            </w:r>
          </w:p>
          <w:p>
            <w:pPr>
              <w:pStyle w:val="BodyText3"/>
              <w:jc w:val="center"/>
              <w:rPr>
                <w:b w:val="false"/>
              </w:rPr>
            </w:pPr>
            <w:r>
              <w:rPr>
                <w:b w:val="false"/>
                <w:u w:val="single"/>
              </w:rPr>
              <w:t>Deal Number:</w:t>
            </w:r>
          </w:p>
        </w:tc>
        <w:tc>
          <w:tcPr>
            <w:tcW w:w="1890" w:type="dxa"/>
            <w:tcBorders/>
          </w:tcPr>
          <w:p>
            <w:pPr>
              <w:pStyle w:val="BodyText3"/>
              <w:jc w:val="center"/>
              <w:rPr>
                <w:b w:val="false"/>
              </w:rPr>
            </w:pPr>
            <w:r>
              <w:rPr>
                <w:b w:val="false"/>
              </w:rPr>
              <w:t>New</w:t>
            </w:r>
          </w:p>
          <w:p>
            <w:pPr>
              <w:pStyle w:val="BodyText3"/>
              <w:jc w:val="center"/>
              <w:rPr>
                <w:b w:val="false"/>
              </w:rPr>
            </w:pPr>
            <w:r>
              <w:rPr>
                <w:b w:val="false"/>
              </w:rPr>
              <w:t>Notional Quantity:</w:t>
            </w:r>
          </w:p>
          <w:p>
            <w:pPr>
              <w:pStyle w:val="BodyText3"/>
              <w:jc w:val="center"/>
              <w:rPr>
                <w:b w:val="false"/>
              </w:rPr>
            </w:pPr>
            <w:r>
              <w:rPr>
                <w:b w:val="false"/>
                <w:u w:val="single"/>
              </w:rPr>
              <w:t>(MMBtu/day)</w:t>
            </w:r>
          </w:p>
        </w:tc>
        <w:tc>
          <w:tcPr>
            <w:tcW w:w="1890" w:type="dxa"/>
            <w:tcBorders/>
          </w:tcPr>
          <w:p>
            <w:pPr>
              <w:pStyle w:val="BodyText3"/>
              <w:snapToGrid w:val="false"/>
              <w:jc w:val="center"/>
              <w:rPr>
                <w:b w:val="false"/>
                <w:u w:val="single"/>
              </w:rPr>
            </w:pPr>
            <w:r>
              <w:rPr>
                <w:b w:val="false"/>
                <w:u w:val="single"/>
              </w:rPr>
            </w:r>
          </w:p>
          <w:p>
            <w:pPr>
              <w:pStyle w:val="BodyText3"/>
              <w:jc w:val="center"/>
              <w:rPr>
                <w:b w:val="false"/>
              </w:rPr>
            </w:pPr>
            <w:r>
              <w:rPr>
                <w:b w:val="false"/>
              </w:rPr>
              <w:t>Calculation</w:t>
            </w:r>
          </w:p>
          <w:p>
            <w:pPr>
              <w:pStyle w:val="BodyText3"/>
              <w:jc w:val="center"/>
              <w:rPr>
                <w:b w:val="false"/>
                <w:u w:val="single"/>
              </w:rPr>
            </w:pPr>
            <w:r>
              <w:rPr>
                <w:b w:val="false"/>
                <w:u w:val="single"/>
              </w:rPr>
              <w:t>Period(s)</w:t>
            </w:r>
          </w:p>
        </w:tc>
      </w:tr>
      <w:tr>
        <w:trPr/>
        <w:tc>
          <w:tcPr>
            <w:tcW w:w="1638" w:type="dxa"/>
            <w:tcBorders/>
          </w:tcPr>
          <w:p>
            <w:pPr>
              <w:pStyle w:val="BodyText3"/>
              <w:snapToGrid w:val="false"/>
              <w:rPr>
                <w:b w:val="false"/>
                <w:u w:val="single"/>
              </w:rPr>
            </w:pPr>
            <w:r>
              <w:rPr>
                <w:b w:val="false"/>
                <w:u w:val="single"/>
              </w:rPr>
            </w:r>
          </w:p>
        </w:tc>
        <w:tc>
          <w:tcPr>
            <w:tcW w:w="1872"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NF1164.I</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December, 2001</w:t>
            </w:r>
          </w:p>
        </w:tc>
        <w:tc>
          <w:tcPr>
            <w:tcW w:w="1530" w:type="dxa"/>
            <w:tcBorders/>
          </w:tcPr>
          <w:p>
            <w:pPr>
              <w:pStyle w:val="BodyText3"/>
              <w:jc w:val="center"/>
              <w:rPr>
                <w:b w:val="false"/>
              </w:rPr>
            </w:pPr>
            <w:r>
              <w:rPr>
                <w:b w:val="false"/>
              </w:rPr>
              <w:t>V30255.1</w:t>
            </w:r>
          </w:p>
        </w:tc>
        <w:tc>
          <w:tcPr>
            <w:tcW w:w="1890"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December, 2001</w:t>
            </w:r>
          </w:p>
        </w:tc>
      </w:tr>
      <w:tr>
        <w:trPr/>
        <w:tc>
          <w:tcPr>
            <w:tcW w:w="1638" w:type="dxa"/>
            <w:tcBorders/>
          </w:tcPr>
          <w:p>
            <w:pPr>
              <w:pStyle w:val="BodyText3"/>
              <w:snapToGrid w:val="false"/>
              <w:rPr>
                <w:b w:val="false"/>
              </w:rPr>
            </w:pPr>
            <w:r>
              <w:rPr>
                <w:b w:val="false"/>
              </w:rPr>
            </w:r>
          </w:p>
        </w:tc>
        <w:tc>
          <w:tcPr>
            <w:tcW w:w="1872"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snapToGrid w:val="false"/>
              <w:rPr>
                <w:b w:val="false"/>
              </w:rPr>
            </w:pPr>
            <w:r>
              <w:rPr>
                <w:b w:val="false"/>
              </w:rPr>
            </w:r>
          </w:p>
        </w:tc>
        <w:tc>
          <w:tcPr>
            <w:tcW w:w="1872"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NF1164.D</w:t>
            </w:r>
          </w:p>
        </w:tc>
        <w:tc>
          <w:tcPr>
            <w:tcW w:w="1872"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May, 2001</w:t>
            </w:r>
          </w:p>
        </w:tc>
        <w:tc>
          <w:tcPr>
            <w:tcW w:w="1530" w:type="dxa"/>
            <w:tcBorders/>
          </w:tcPr>
          <w:p>
            <w:pPr>
              <w:pStyle w:val="BodyText3"/>
              <w:jc w:val="center"/>
              <w:rPr>
                <w:b w:val="false"/>
              </w:rPr>
            </w:pPr>
            <w:r>
              <w:rPr>
                <w:b w:val="false"/>
              </w:rPr>
              <w:t>V30255.2</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May, 2001</w:t>
            </w:r>
          </w:p>
        </w:tc>
      </w:tr>
      <w:tr>
        <w:trPr/>
        <w:tc>
          <w:tcPr>
            <w:tcW w:w="1638" w:type="dxa"/>
            <w:tcBorders/>
          </w:tcPr>
          <w:p>
            <w:pPr>
              <w:pStyle w:val="BodyText3"/>
              <w:rPr>
                <w:b w:val="false"/>
              </w:rPr>
            </w:pPr>
            <w:r>
              <w:rPr>
                <w:b w:val="false"/>
              </w:rPr>
              <w:t>NF1164.D</w:t>
            </w:r>
          </w:p>
        </w:tc>
        <w:tc>
          <w:tcPr>
            <w:tcW w:w="1872"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June, 2001</w:t>
            </w:r>
          </w:p>
        </w:tc>
        <w:tc>
          <w:tcPr>
            <w:tcW w:w="1530" w:type="dxa"/>
            <w:tcBorders/>
          </w:tcPr>
          <w:p>
            <w:pPr>
              <w:pStyle w:val="BodyText3"/>
              <w:jc w:val="center"/>
              <w:rPr>
                <w:b w:val="false"/>
              </w:rPr>
            </w:pPr>
            <w:r>
              <w:rPr>
                <w:b w:val="false"/>
              </w:rPr>
              <w:t>V30255.2</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June, 2001</w:t>
            </w:r>
          </w:p>
        </w:tc>
      </w:tr>
      <w:tr>
        <w:trPr/>
        <w:tc>
          <w:tcPr>
            <w:tcW w:w="1638" w:type="dxa"/>
            <w:tcBorders/>
          </w:tcPr>
          <w:p>
            <w:pPr>
              <w:pStyle w:val="BodyText3"/>
              <w:rPr>
                <w:b w:val="false"/>
              </w:rPr>
            </w:pPr>
            <w:r>
              <w:rPr>
                <w:b w:val="false"/>
              </w:rPr>
              <w:t>NF1164.D</w:t>
            </w:r>
          </w:p>
        </w:tc>
        <w:tc>
          <w:tcPr>
            <w:tcW w:w="1872"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July, 2001</w:t>
            </w:r>
          </w:p>
        </w:tc>
        <w:tc>
          <w:tcPr>
            <w:tcW w:w="1530" w:type="dxa"/>
            <w:tcBorders/>
          </w:tcPr>
          <w:p>
            <w:pPr>
              <w:pStyle w:val="BodyText3"/>
              <w:jc w:val="center"/>
              <w:rPr>
                <w:b w:val="false"/>
              </w:rPr>
            </w:pPr>
            <w:r>
              <w:rPr>
                <w:b w:val="false"/>
              </w:rPr>
              <w:t>V30255.2</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July, 2001</w:t>
            </w:r>
          </w:p>
        </w:tc>
      </w:tr>
      <w:tr>
        <w:trPr/>
        <w:tc>
          <w:tcPr>
            <w:tcW w:w="1638" w:type="dxa"/>
            <w:tcBorders/>
          </w:tcPr>
          <w:p>
            <w:pPr>
              <w:pStyle w:val="BodyText3"/>
              <w:rPr>
                <w:b w:val="false"/>
              </w:rPr>
            </w:pPr>
            <w:r>
              <w:rPr>
                <w:b w:val="false"/>
              </w:rPr>
              <w:t>NF1164.D</w:t>
            </w:r>
          </w:p>
        </w:tc>
        <w:tc>
          <w:tcPr>
            <w:tcW w:w="1872"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August, 2001</w:t>
            </w:r>
          </w:p>
        </w:tc>
        <w:tc>
          <w:tcPr>
            <w:tcW w:w="1530" w:type="dxa"/>
            <w:tcBorders/>
          </w:tcPr>
          <w:p>
            <w:pPr>
              <w:pStyle w:val="BodyText3"/>
              <w:jc w:val="center"/>
              <w:rPr>
                <w:b w:val="false"/>
              </w:rPr>
            </w:pPr>
            <w:r>
              <w:rPr>
                <w:b w:val="false"/>
              </w:rPr>
              <w:t>V30255.2</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August, 2001</w:t>
            </w:r>
          </w:p>
        </w:tc>
      </w:tr>
      <w:tr>
        <w:trPr/>
        <w:tc>
          <w:tcPr>
            <w:tcW w:w="1638" w:type="dxa"/>
            <w:tcBorders/>
          </w:tcPr>
          <w:p>
            <w:pPr>
              <w:pStyle w:val="BodyText3"/>
              <w:rPr>
                <w:b w:val="false"/>
              </w:rPr>
            </w:pPr>
            <w:r>
              <w:rPr>
                <w:b w:val="false"/>
              </w:rPr>
              <w:t>NF1164.D</w:t>
            </w:r>
          </w:p>
        </w:tc>
        <w:tc>
          <w:tcPr>
            <w:tcW w:w="1872"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September, 2001</w:t>
            </w:r>
          </w:p>
        </w:tc>
        <w:tc>
          <w:tcPr>
            <w:tcW w:w="1530" w:type="dxa"/>
            <w:tcBorders/>
          </w:tcPr>
          <w:p>
            <w:pPr>
              <w:pStyle w:val="BodyText3"/>
              <w:jc w:val="center"/>
              <w:rPr>
                <w:b w:val="false"/>
              </w:rPr>
            </w:pPr>
            <w:r>
              <w:rPr>
                <w:b w:val="false"/>
              </w:rPr>
              <w:t>V30255.2</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September, 2001</w:t>
            </w:r>
          </w:p>
        </w:tc>
      </w:tr>
      <w:tr>
        <w:trPr/>
        <w:tc>
          <w:tcPr>
            <w:tcW w:w="1638" w:type="dxa"/>
            <w:tcBorders/>
          </w:tcPr>
          <w:p>
            <w:pPr>
              <w:pStyle w:val="BodyText3"/>
              <w:rPr>
                <w:b w:val="false"/>
              </w:rPr>
            </w:pPr>
            <w:r>
              <w:rPr>
                <w:b w:val="false"/>
              </w:rPr>
              <w:t>NF1164.D</w:t>
            </w:r>
          </w:p>
        </w:tc>
        <w:tc>
          <w:tcPr>
            <w:tcW w:w="1872"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October, 2001</w:t>
            </w:r>
          </w:p>
        </w:tc>
        <w:tc>
          <w:tcPr>
            <w:tcW w:w="1530" w:type="dxa"/>
            <w:tcBorders/>
          </w:tcPr>
          <w:p>
            <w:pPr>
              <w:pStyle w:val="BodyText3"/>
              <w:jc w:val="center"/>
              <w:rPr>
                <w:b w:val="false"/>
              </w:rPr>
            </w:pPr>
            <w:r>
              <w:rPr>
                <w:b w:val="false"/>
              </w:rPr>
              <w:t>V30255.2</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October, 2001</w:t>
            </w:r>
          </w:p>
        </w:tc>
      </w:tr>
      <w:tr>
        <w:trPr/>
        <w:tc>
          <w:tcPr>
            <w:tcW w:w="1638" w:type="dxa"/>
            <w:tcBorders/>
          </w:tcPr>
          <w:p>
            <w:pPr>
              <w:pStyle w:val="BodyText3"/>
              <w:snapToGrid w:val="false"/>
              <w:rPr>
                <w:b w:val="false"/>
              </w:rPr>
            </w:pPr>
            <w:r>
              <w:rPr>
                <w:b w:val="false"/>
              </w:rPr>
            </w:r>
          </w:p>
        </w:tc>
        <w:tc>
          <w:tcPr>
            <w:tcW w:w="1872"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snapToGrid w:val="false"/>
              <w:rPr>
                <w:b w:val="false"/>
              </w:rPr>
            </w:pPr>
            <w:r>
              <w:rPr>
                <w:b w:val="false"/>
              </w:rPr>
            </w:r>
          </w:p>
        </w:tc>
        <w:tc>
          <w:tcPr>
            <w:tcW w:w="1872"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NF1164.1</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May, 2001</w:t>
            </w:r>
          </w:p>
        </w:tc>
        <w:tc>
          <w:tcPr>
            <w:tcW w:w="1530" w:type="dxa"/>
            <w:tcBorders/>
          </w:tcPr>
          <w:p>
            <w:pPr>
              <w:pStyle w:val="BodyText3"/>
              <w:jc w:val="center"/>
              <w:rPr>
                <w:b w:val="false"/>
              </w:rPr>
            </w:pPr>
            <w:r>
              <w:rPr>
                <w:b w:val="false"/>
              </w:rPr>
              <w:t>V30255.3</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May, 2001</w:t>
            </w:r>
          </w:p>
        </w:tc>
      </w:tr>
      <w:tr>
        <w:trPr/>
        <w:tc>
          <w:tcPr>
            <w:tcW w:w="1638" w:type="dxa"/>
            <w:tcBorders/>
          </w:tcPr>
          <w:p>
            <w:pPr>
              <w:pStyle w:val="BodyText3"/>
              <w:rPr>
                <w:b w:val="false"/>
              </w:rPr>
            </w:pPr>
            <w:r>
              <w:rPr>
                <w:b w:val="false"/>
              </w:rPr>
              <w:t>NF1164.1</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June, 2001</w:t>
            </w:r>
          </w:p>
        </w:tc>
        <w:tc>
          <w:tcPr>
            <w:tcW w:w="1530" w:type="dxa"/>
            <w:tcBorders/>
          </w:tcPr>
          <w:p>
            <w:pPr>
              <w:pStyle w:val="BodyText3"/>
              <w:jc w:val="center"/>
              <w:rPr>
                <w:b w:val="false"/>
              </w:rPr>
            </w:pPr>
            <w:r>
              <w:rPr>
                <w:b w:val="false"/>
              </w:rPr>
              <w:t>V30255.3</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June, 2001</w:t>
            </w:r>
          </w:p>
        </w:tc>
      </w:tr>
      <w:tr>
        <w:trPr/>
        <w:tc>
          <w:tcPr>
            <w:tcW w:w="1638" w:type="dxa"/>
            <w:tcBorders/>
          </w:tcPr>
          <w:p>
            <w:pPr>
              <w:pStyle w:val="BodyText3"/>
              <w:rPr>
                <w:b w:val="false"/>
              </w:rPr>
            </w:pPr>
            <w:r>
              <w:rPr>
                <w:b w:val="false"/>
              </w:rPr>
              <w:t>NF1164.1</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July, 2001</w:t>
            </w:r>
          </w:p>
        </w:tc>
        <w:tc>
          <w:tcPr>
            <w:tcW w:w="1530" w:type="dxa"/>
            <w:tcBorders/>
          </w:tcPr>
          <w:p>
            <w:pPr>
              <w:pStyle w:val="BodyText3"/>
              <w:jc w:val="center"/>
              <w:rPr>
                <w:b w:val="false"/>
              </w:rPr>
            </w:pPr>
            <w:r>
              <w:rPr>
                <w:b w:val="false"/>
              </w:rPr>
              <w:t>V30255.3</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July, 2001</w:t>
            </w:r>
          </w:p>
        </w:tc>
      </w:tr>
      <w:tr>
        <w:trPr/>
        <w:tc>
          <w:tcPr>
            <w:tcW w:w="1638" w:type="dxa"/>
            <w:tcBorders/>
          </w:tcPr>
          <w:p>
            <w:pPr>
              <w:pStyle w:val="BodyText3"/>
              <w:rPr>
                <w:b w:val="false"/>
              </w:rPr>
            </w:pPr>
            <w:r>
              <w:rPr>
                <w:b w:val="false"/>
              </w:rPr>
              <w:t>NF1164.1</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August, 2001</w:t>
            </w:r>
          </w:p>
        </w:tc>
        <w:tc>
          <w:tcPr>
            <w:tcW w:w="1530" w:type="dxa"/>
            <w:tcBorders/>
          </w:tcPr>
          <w:p>
            <w:pPr>
              <w:pStyle w:val="BodyText3"/>
              <w:jc w:val="center"/>
              <w:rPr>
                <w:b w:val="false"/>
              </w:rPr>
            </w:pPr>
            <w:r>
              <w:rPr>
                <w:b w:val="false"/>
              </w:rPr>
              <w:t>V30255.3</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August, 2001</w:t>
            </w:r>
          </w:p>
        </w:tc>
      </w:tr>
      <w:tr>
        <w:trPr/>
        <w:tc>
          <w:tcPr>
            <w:tcW w:w="1638" w:type="dxa"/>
            <w:tcBorders/>
          </w:tcPr>
          <w:p>
            <w:pPr>
              <w:pStyle w:val="BodyText3"/>
              <w:rPr>
                <w:b w:val="false"/>
              </w:rPr>
            </w:pPr>
            <w:r>
              <w:rPr>
                <w:b w:val="false"/>
              </w:rPr>
              <w:t>NF1164.1</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September, 2001</w:t>
            </w:r>
          </w:p>
        </w:tc>
        <w:tc>
          <w:tcPr>
            <w:tcW w:w="1530" w:type="dxa"/>
            <w:tcBorders/>
          </w:tcPr>
          <w:p>
            <w:pPr>
              <w:pStyle w:val="BodyText3"/>
              <w:jc w:val="center"/>
              <w:rPr>
                <w:b w:val="false"/>
              </w:rPr>
            </w:pPr>
            <w:r>
              <w:rPr>
                <w:b w:val="false"/>
              </w:rPr>
              <w:t>V30255.3</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September, 2001</w:t>
            </w:r>
          </w:p>
        </w:tc>
      </w:tr>
      <w:tr>
        <w:trPr/>
        <w:tc>
          <w:tcPr>
            <w:tcW w:w="1638" w:type="dxa"/>
            <w:tcBorders/>
          </w:tcPr>
          <w:p>
            <w:pPr>
              <w:pStyle w:val="BodyText3"/>
              <w:rPr>
                <w:b w:val="false"/>
              </w:rPr>
            </w:pPr>
            <w:r>
              <w:rPr>
                <w:b w:val="false"/>
              </w:rPr>
              <w:t>NF1164.1</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October, 2001</w:t>
            </w:r>
          </w:p>
        </w:tc>
        <w:tc>
          <w:tcPr>
            <w:tcW w:w="1530" w:type="dxa"/>
            <w:tcBorders/>
          </w:tcPr>
          <w:p>
            <w:pPr>
              <w:pStyle w:val="BodyText3"/>
              <w:jc w:val="center"/>
              <w:rPr>
                <w:b w:val="false"/>
              </w:rPr>
            </w:pPr>
            <w:r>
              <w:rPr>
                <w:b w:val="false"/>
              </w:rPr>
              <w:t>V30255.3</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October, 2001</w:t>
            </w:r>
          </w:p>
        </w:tc>
      </w:tr>
      <w:tr>
        <w:trPr/>
        <w:tc>
          <w:tcPr>
            <w:tcW w:w="1638" w:type="dxa"/>
            <w:tcBorders/>
          </w:tcPr>
          <w:p>
            <w:pPr>
              <w:pStyle w:val="BodyText3"/>
              <w:rPr>
                <w:b w:val="false"/>
              </w:rPr>
            </w:pPr>
            <w:r>
              <w:rPr>
                <w:b w:val="false"/>
              </w:rPr>
              <w:t>NF1164.1</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November, 2001</w:t>
            </w:r>
          </w:p>
        </w:tc>
        <w:tc>
          <w:tcPr>
            <w:tcW w:w="1530" w:type="dxa"/>
            <w:tcBorders/>
          </w:tcPr>
          <w:p>
            <w:pPr>
              <w:pStyle w:val="BodyText3"/>
              <w:jc w:val="center"/>
              <w:rPr>
                <w:b w:val="false"/>
              </w:rPr>
            </w:pPr>
            <w:r>
              <w:rPr>
                <w:b w:val="false"/>
              </w:rPr>
              <w:t>V30255.3</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November, 2001</w:t>
            </w:r>
          </w:p>
        </w:tc>
      </w:tr>
      <w:tr>
        <w:trPr/>
        <w:tc>
          <w:tcPr>
            <w:tcW w:w="1638" w:type="dxa"/>
            <w:tcBorders/>
          </w:tcPr>
          <w:p>
            <w:pPr>
              <w:pStyle w:val="BodyText3"/>
              <w:rPr>
                <w:b w:val="false"/>
              </w:rPr>
            </w:pPr>
            <w:r>
              <w:rPr>
                <w:b w:val="false"/>
              </w:rPr>
              <w:t>NF1164.1</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December, 2001</w:t>
            </w:r>
          </w:p>
        </w:tc>
        <w:tc>
          <w:tcPr>
            <w:tcW w:w="1530" w:type="dxa"/>
            <w:tcBorders/>
          </w:tcPr>
          <w:p>
            <w:pPr>
              <w:pStyle w:val="BodyText3"/>
              <w:jc w:val="center"/>
              <w:rPr>
                <w:b w:val="false"/>
              </w:rPr>
            </w:pPr>
            <w:r>
              <w:rPr>
                <w:b w:val="false"/>
              </w:rPr>
              <w:t>V30255.3</w:t>
            </w:r>
          </w:p>
        </w:tc>
        <w:tc>
          <w:tcPr>
            <w:tcW w:w="1890" w:type="dxa"/>
            <w:tcBorders/>
          </w:tcPr>
          <w:p>
            <w:pPr>
              <w:pStyle w:val="BodyText3"/>
              <w:jc w:val="center"/>
              <w:rPr>
                <w:b w:val="false"/>
              </w:rPr>
            </w:pPr>
            <w:r>
              <w:rPr>
                <w:b w:val="false"/>
              </w:rPr>
              <w:t>8,000</w:t>
            </w:r>
          </w:p>
        </w:tc>
        <w:tc>
          <w:tcPr>
            <w:tcW w:w="1890" w:type="dxa"/>
            <w:tcBorders/>
          </w:tcPr>
          <w:p>
            <w:pPr>
              <w:pStyle w:val="BodyText3"/>
              <w:jc w:val="center"/>
              <w:rPr>
                <w:b w:val="false"/>
              </w:rPr>
            </w:pPr>
            <w:r>
              <w:rPr>
                <w:b w:val="false"/>
              </w:rPr>
              <w:t>December, 2001</w:t>
            </w:r>
          </w:p>
        </w:tc>
      </w:tr>
      <w:tr>
        <w:trPr/>
        <w:tc>
          <w:tcPr>
            <w:tcW w:w="1638" w:type="dxa"/>
            <w:tcBorders/>
          </w:tcPr>
          <w:p>
            <w:pPr>
              <w:pStyle w:val="BodyText3"/>
              <w:rPr>
                <w:b w:val="false"/>
              </w:rPr>
            </w:pPr>
            <w:r>
              <w:rPr>
                <w:b w:val="false"/>
              </w:rPr>
              <w:t>NF1164.E</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May, 2001</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NF1164.E</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June, 2001</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NF1164.E</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July, 2001</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NF1164.E</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August, 2001</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NF1164.E</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September, 2001</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NF1164.E</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October, 2001</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NF1164.F</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November, 2001</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NF1164.F</w:t>
            </w:r>
          </w:p>
        </w:tc>
        <w:tc>
          <w:tcPr>
            <w:tcW w:w="1872" w:type="dxa"/>
            <w:tcBorders/>
          </w:tcPr>
          <w:p>
            <w:pPr>
              <w:pStyle w:val="BodyText3"/>
              <w:jc w:val="center"/>
              <w:rPr>
                <w:b w:val="false"/>
              </w:rPr>
            </w:pPr>
            <w:r>
              <w:rPr>
                <w:b w:val="false"/>
              </w:rPr>
              <w:t>2,000</w:t>
            </w:r>
          </w:p>
        </w:tc>
        <w:tc>
          <w:tcPr>
            <w:tcW w:w="1890" w:type="dxa"/>
            <w:tcBorders/>
          </w:tcPr>
          <w:p>
            <w:pPr>
              <w:pStyle w:val="BodyText3"/>
              <w:jc w:val="center"/>
              <w:rPr>
                <w:b w:val="false"/>
              </w:rPr>
            </w:pPr>
            <w:r>
              <w:rPr>
                <w:b w:val="false"/>
              </w:rPr>
              <w:t>December, 2001</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snapToGrid w:val="false"/>
              <w:rPr>
                <w:b w:val="false"/>
              </w:rPr>
            </w:pPr>
            <w:r>
              <w:rPr>
                <w:b w:val="false"/>
              </w:rPr>
            </w:r>
          </w:p>
        </w:tc>
        <w:tc>
          <w:tcPr>
            <w:tcW w:w="1872"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NF1164.4</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January, 2002</w:t>
            </w:r>
          </w:p>
        </w:tc>
        <w:tc>
          <w:tcPr>
            <w:tcW w:w="1530" w:type="dxa"/>
            <w:tcBorders/>
          </w:tcPr>
          <w:p>
            <w:pPr>
              <w:pStyle w:val="BodyText3"/>
              <w:jc w:val="center"/>
              <w:rPr>
                <w:b w:val="false"/>
              </w:rPr>
            </w:pPr>
            <w:r>
              <w:rPr>
                <w:b w:val="false"/>
              </w:rPr>
              <w:t>V30255.4</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January, 2002</w:t>
            </w:r>
          </w:p>
        </w:tc>
      </w:tr>
      <w:tr>
        <w:trPr/>
        <w:tc>
          <w:tcPr>
            <w:tcW w:w="1638" w:type="dxa"/>
            <w:tcBorders/>
          </w:tcPr>
          <w:p>
            <w:pPr>
              <w:pStyle w:val="BodyText3"/>
              <w:rPr>
                <w:b w:val="false"/>
              </w:rPr>
            </w:pPr>
            <w:r>
              <w:rPr>
                <w:b w:val="false"/>
              </w:rPr>
              <w:t>NF1164.4</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February, 2002</w:t>
            </w:r>
          </w:p>
        </w:tc>
        <w:tc>
          <w:tcPr>
            <w:tcW w:w="1530" w:type="dxa"/>
            <w:tcBorders/>
          </w:tcPr>
          <w:p>
            <w:pPr>
              <w:pStyle w:val="BodyText3"/>
              <w:jc w:val="center"/>
              <w:rPr>
                <w:b w:val="false"/>
              </w:rPr>
            </w:pPr>
            <w:r>
              <w:rPr>
                <w:b w:val="false"/>
              </w:rPr>
              <w:t>V30255.4</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February, 2002</w:t>
            </w:r>
          </w:p>
        </w:tc>
      </w:tr>
      <w:tr>
        <w:trPr/>
        <w:tc>
          <w:tcPr>
            <w:tcW w:w="1638" w:type="dxa"/>
            <w:tcBorders/>
          </w:tcPr>
          <w:p>
            <w:pPr>
              <w:pStyle w:val="BodyText3"/>
              <w:rPr>
                <w:b w:val="false"/>
              </w:rPr>
            </w:pPr>
            <w:r>
              <w:rPr>
                <w:b w:val="false"/>
              </w:rPr>
              <w:t>NF1164.4</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March, 2002</w:t>
            </w:r>
          </w:p>
        </w:tc>
        <w:tc>
          <w:tcPr>
            <w:tcW w:w="1530" w:type="dxa"/>
            <w:tcBorders/>
          </w:tcPr>
          <w:p>
            <w:pPr>
              <w:pStyle w:val="BodyText3"/>
              <w:jc w:val="center"/>
              <w:rPr>
                <w:b w:val="false"/>
              </w:rPr>
            </w:pPr>
            <w:r>
              <w:rPr>
                <w:b w:val="false"/>
              </w:rPr>
              <w:t>V30255.4</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March, 2002</w:t>
            </w:r>
          </w:p>
        </w:tc>
      </w:tr>
      <w:tr>
        <w:trPr/>
        <w:tc>
          <w:tcPr>
            <w:tcW w:w="1638" w:type="dxa"/>
            <w:tcBorders/>
          </w:tcPr>
          <w:p>
            <w:pPr>
              <w:pStyle w:val="BodyText3"/>
              <w:rPr>
                <w:b w:val="false"/>
              </w:rPr>
            </w:pPr>
            <w:r>
              <w:rPr>
                <w:b w:val="false"/>
              </w:rPr>
              <w:t>NF1164.4</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April, 2002</w:t>
            </w:r>
          </w:p>
        </w:tc>
        <w:tc>
          <w:tcPr>
            <w:tcW w:w="1530" w:type="dxa"/>
            <w:tcBorders/>
          </w:tcPr>
          <w:p>
            <w:pPr>
              <w:pStyle w:val="BodyText3"/>
              <w:jc w:val="center"/>
              <w:rPr>
                <w:b w:val="false"/>
              </w:rPr>
            </w:pPr>
            <w:r>
              <w:rPr>
                <w:b w:val="false"/>
              </w:rPr>
              <w:t>V30255.4</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April, 2002</w:t>
            </w:r>
          </w:p>
        </w:tc>
      </w:tr>
      <w:tr>
        <w:trPr/>
        <w:tc>
          <w:tcPr>
            <w:tcW w:w="1638" w:type="dxa"/>
            <w:tcBorders/>
          </w:tcPr>
          <w:p>
            <w:pPr>
              <w:pStyle w:val="BodyText3"/>
              <w:rPr>
                <w:b w:val="false"/>
              </w:rPr>
            </w:pPr>
            <w:r>
              <w:rPr>
                <w:b w:val="false"/>
              </w:rPr>
              <w:t>NF1164.4</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May, 2002</w:t>
            </w:r>
          </w:p>
        </w:tc>
        <w:tc>
          <w:tcPr>
            <w:tcW w:w="1530" w:type="dxa"/>
            <w:tcBorders/>
          </w:tcPr>
          <w:p>
            <w:pPr>
              <w:pStyle w:val="BodyText3"/>
              <w:jc w:val="center"/>
              <w:rPr>
                <w:b w:val="false"/>
              </w:rPr>
            </w:pPr>
            <w:r>
              <w:rPr>
                <w:b w:val="false"/>
              </w:rPr>
              <w:t>V30255.4</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May, 2002</w:t>
            </w:r>
          </w:p>
        </w:tc>
      </w:tr>
      <w:tr>
        <w:trPr/>
        <w:tc>
          <w:tcPr>
            <w:tcW w:w="1638" w:type="dxa"/>
            <w:tcBorders/>
          </w:tcPr>
          <w:p>
            <w:pPr>
              <w:pStyle w:val="BodyText3"/>
              <w:rPr>
                <w:b w:val="false"/>
              </w:rPr>
            </w:pPr>
            <w:r>
              <w:rPr>
                <w:b w:val="false"/>
              </w:rPr>
              <w:t>NF1164.4</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June, 2002</w:t>
            </w:r>
          </w:p>
        </w:tc>
        <w:tc>
          <w:tcPr>
            <w:tcW w:w="1530" w:type="dxa"/>
            <w:tcBorders/>
          </w:tcPr>
          <w:p>
            <w:pPr>
              <w:pStyle w:val="BodyText3"/>
              <w:jc w:val="center"/>
              <w:rPr>
                <w:b w:val="false"/>
              </w:rPr>
            </w:pPr>
            <w:r>
              <w:rPr>
                <w:b w:val="false"/>
              </w:rPr>
              <w:t>V30255.4</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June, 2002</w:t>
            </w:r>
          </w:p>
        </w:tc>
      </w:tr>
      <w:tr>
        <w:trPr/>
        <w:tc>
          <w:tcPr>
            <w:tcW w:w="1638" w:type="dxa"/>
            <w:tcBorders/>
          </w:tcPr>
          <w:p>
            <w:pPr>
              <w:pStyle w:val="BodyText3"/>
              <w:rPr>
                <w:b w:val="false"/>
              </w:rPr>
            </w:pPr>
            <w:r>
              <w:rPr>
                <w:b w:val="false"/>
              </w:rPr>
              <w:t>NF1164.4</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July, 2002</w:t>
            </w:r>
          </w:p>
        </w:tc>
        <w:tc>
          <w:tcPr>
            <w:tcW w:w="1530" w:type="dxa"/>
            <w:tcBorders/>
          </w:tcPr>
          <w:p>
            <w:pPr>
              <w:pStyle w:val="BodyText3"/>
              <w:jc w:val="center"/>
              <w:rPr>
                <w:b w:val="false"/>
              </w:rPr>
            </w:pPr>
            <w:r>
              <w:rPr>
                <w:b w:val="false"/>
              </w:rPr>
              <w:t>V30255.4</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July, 2002</w:t>
            </w:r>
          </w:p>
        </w:tc>
      </w:tr>
      <w:tr>
        <w:trPr/>
        <w:tc>
          <w:tcPr>
            <w:tcW w:w="1638" w:type="dxa"/>
            <w:tcBorders/>
          </w:tcPr>
          <w:p>
            <w:pPr>
              <w:pStyle w:val="BodyText3"/>
              <w:rPr>
                <w:b w:val="false"/>
              </w:rPr>
            </w:pPr>
            <w:r>
              <w:rPr>
                <w:b w:val="false"/>
              </w:rPr>
              <w:t>NF1164.4</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August, 2002</w:t>
            </w:r>
          </w:p>
        </w:tc>
        <w:tc>
          <w:tcPr>
            <w:tcW w:w="1530" w:type="dxa"/>
            <w:tcBorders/>
          </w:tcPr>
          <w:p>
            <w:pPr>
              <w:pStyle w:val="BodyText3"/>
              <w:jc w:val="center"/>
              <w:rPr>
                <w:b w:val="false"/>
              </w:rPr>
            </w:pPr>
            <w:r>
              <w:rPr>
                <w:b w:val="false"/>
              </w:rPr>
              <w:t>V30255.4</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August, 2002</w:t>
            </w:r>
          </w:p>
        </w:tc>
      </w:tr>
      <w:tr>
        <w:trPr/>
        <w:tc>
          <w:tcPr>
            <w:tcW w:w="1638" w:type="dxa"/>
            <w:tcBorders/>
          </w:tcPr>
          <w:p>
            <w:pPr>
              <w:pStyle w:val="BodyText3"/>
              <w:rPr>
                <w:b w:val="false"/>
              </w:rPr>
            </w:pPr>
            <w:r>
              <w:rPr>
                <w:b w:val="false"/>
              </w:rPr>
              <w:t>NF1164.F</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January, 2002</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NF1164.F</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February, 2002</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NF1164.F</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March, 2002</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NF1164.F</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April, 2002</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NF1164.F</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May, 2002</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NF1164.F</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June, 2002</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NF1164.F</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July, 2002</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NF1164.F</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August, 2002</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snapToGrid w:val="false"/>
              <w:rPr>
                <w:b w:val="false"/>
              </w:rPr>
            </w:pPr>
            <w:r>
              <w:rPr>
                <w:b w:val="false"/>
              </w:rPr>
            </w:r>
          </w:p>
        </w:tc>
        <w:tc>
          <w:tcPr>
            <w:tcW w:w="1872"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snapToGrid w:val="false"/>
              <w:rPr>
                <w:b w:val="false"/>
              </w:rPr>
            </w:pPr>
            <w:r>
              <w:rPr>
                <w:b w:val="false"/>
              </w:rPr>
            </w:r>
          </w:p>
        </w:tc>
        <w:tc>
          <w:tcPr>
            <w:tcW w:w="1872"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snapToGrid w:val="false"/>
              <w:rPr>
                <w:b w:val="false"/>
              </w:rPr>
            </w:pPr>
            <w:r>
              <w:rPr>
                <w:b w:val="false"/>
              </w:rPr>
            </w:r>
          </w:p>
        </w:tc>
        <w:tc>
          <w:tcPr>
            <w:tcW w:w="1872"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snapToGrid w:val="false"/>
              <w:rPr>
                <w:b w:val="false"/>
              </w:rPr>
            </w:pPr>
            <w:r>
              <w:rPr>
                <w:b w:val="false"/>
              </w:rPr>
            </w:r>
          </w:p>
        </w:tc>
        <w:tc>
          <w:tcPr>
            <w:tcW w:w="1872"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snapToGrid w:val="false"/>
              <w:rPr>
                <w:b w:val="false"/>
              </w:rPr>
            </w:pPr>
            <w:r>
              <w:rPr>
                <w:b w:val="false"/>
              </w:rPr>
            </w:r>
          </w:p>
        </w:tc>
        <w:tc>
          <w:tcPr>
            <w:tcW w:w="1872"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bl>
    <w:p>
      <w:pPr>
        <w:pStyle w:val="BodyText3"/>
        <w:rPr>
          <w:b w:val="false"/>
        </w:rPr>
      </w:pPr>
      <w:r>
        <w:rPr>
          <w:b w:val="fals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lvl w:ilvl="1">
      <w:start w:val="1"/>
      <w:numFmt w:val="lowerLetter"/>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character" w:styleId="WW8Num1z0">
    <w:name w:val="WW8Num1z0"/>
    <w:qFormat/>
    <w:rPr/>
  </w:style>
  <w:style w:type="character" w:styleId="WW8Num3z0">
    <w:name w:val="WW8Num3z0"/>
    <w:qFormat/>
    <w:rPr/>
  </w:style>
  <w:style w:type="character" w:styleId="WW8Num4z0">
    <w:name w:val="WW8Num4z0"/>
    <w:qFormat/>
    <w:rPr>
      <w:u w:val="single"/>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jc w:val="center"/>
    </w:pPr>
    <w:rPr>
      <w:b/>
      <w:sz w:val="22"/>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2"/>
    </w:rPr>
  </w:style>
  <w:style w:type="paragraph" w:styleId="BodyText3">
    <w:name w:val="Body Text 3"/>
    <w:basedOn w:val="Normal"/>
    <w:qFormat/>
    <w:pPr/>
    <w:rPr>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2001-04-17T10:34:00Z</dcterms:created>
  <dc:creator>jhunte2</dc:creator>
  <dc:description/>
  <dc:language>en-CA</dc:language>
  <cp:lastModifiedBy>sshackl</cp:lastModifiedBy>
  <dcterms:modified xsi:type="dcterms:W3CDTF">2001-04-17T21:18:00Z</dcterms:modified>
  <cp:revision>10</cp:revision>
  <dc:subject/>
  <dc:title>AMENDMENT AGREEMENT</dc:title>
</cp:coreProperties>
</file>