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r>
    </w:p>
    <w:p>
      <w:pPr>
        <w:pStyle w:val="Normal"/>
        <w:jc w:val="center"/>
        <w:rPr>
          <w:b/>
          <w:bCs/>
        </w:rPr>
      </w:pPr>
      <w:r>
        <w:rPr>
          <w:b/>
          <w:bCs/>
        </w:rPr>
        <w:t>AMENDMENT TO GUARANTY</w:t>
      </w:r>
    </w:p>
    <w:p>
      <w:pPr>
        <w:pStyle w:val="Normal"/>
        <w:jc w:val="center"/>
        <w:rPr/>
      </w:pPr>
      <w:r>
        <w:rPr/>
      </w:r>
    </w:p>
    <w:p>
      <w:pPr>
        <w:pStyle w:val="Normal"/>
        <w:jc w:val="center"/>
        <w:rPr/>
      </w:pPr>
      <w:r>
        <w:rPr/>
      </w:r>
    </w:p>
    <w:p>
      <w:pPr>
        <w:pStyle w:val="BodyText"/>
        <w:rPr/>
      </w:pPr>
      <w:r>
        <w:rPr/>
        <w:tab/>
        <w:t xml:space="preserve">This Amendment to Guaranty (“Amendment”) is dated as of January ___, 2001 and is delivered by Enron Corp., a Delaware corporation (“Guarantor”).  </w:t>
      </w:r>
    </w:p>
    <w:p>
      <w:pPr>
        <w:pStyle w:val="Normal"/>
        <w:jc w:val="both"/>
        <w:rPr/>
      </w:pPr>
      <w:r>
        <w:rPr/>
      </w:r>
    </w:p>
    <w:p>
      <w:pPr>
        <w:pStyle w:val="Normal"/>
        <w:jc w:val="center"/>
        <w:rPr/>
      </w:pPr>
      <w:r>
        <w:rPr/>
        <w:t>W I T N E S S E T H:</w:t>
      </w:r>
    </w:p>
    <w:p>
      <w:pPr>
        <w:pStyle w:val="Normal"/>
        <w:jc w:val="center"/>
        <w:rPr/>
      </w:pPr>
      <w:r>
        <w:rPr/>
      </w:r>
    </w:p>
    <w:p>
      <w:pPr>
        <w:pStyle w:val="BodyText"/>
        <w:rPr/>
      </w:pPr>
      <w:r>
        <w:rPr/>
        <w:tab/>
        <w:t>WHEARAS, Guarantor issued its Guaranty to Superior Natural Gas Corporation, (“Counterparty”) on June 6, 2000, but effective as of May 1, 2000 (“Original Guaranty”).</w:t>
      </w:r>
    </w:p>
    <w:p>
      <w:pPr>
        <w:pStyle w:val="Normal"/>
        <w:jc w:val="both"/>
        <w:rPr/>
      </w:pPr>
      <w:r>
        <w:rPr/>
      </w:r>
    </w:p>
    <w:p>
      <w:pPr>
        <w:pStyle w:val="Normal"/>
        <w:jc w:val="both"/>
        <w:rPr/>
      </w:pPr>
      <w:r>
        <w:rPr/>
        <w:tab/>
        <w:t xml:space="preserve">WHEREAS, the Original Guaranty stated that the aggregate amount covered by it and the Texaco Guaranty (as defined in the Original Guaranty) </w:t>
      </w:r>
      <w:r>
        <w:rPr>
          <w:b/>
          <w:bCs/>
        </w:rPr>
        <w:t>severally, but not jointly,</w:t>
      </w:r>
      <w:r>
        <w:rPr/>
        <w:t xml:space="preserve"> would not exceed U.S. $12,000,000.00.  </w:t>
      </w:r>
    </w:p>
    <w:p>
      <w:pPr>
        <w:pStyle w:val="Normal"/>
        <w:jc w:val="both"/>
        <w:rPr/>
      </w:pPr>
      <w:r>
        <w:rPr/>
      </w:r>
    </w:p>
    <w:p>
      <w:pPr>
        <w:pStyle w:val="Normal"/>
        <w:jc w:val="both"/>
        <w:rPr/>
      </w:pPr>
      <w:r>
        <w:rPr/>
        <w:tab/>
        <w:t xml:space="preserve">WHEREAS, Guarantor and Counterparty desire to increase the amount of the </w:t>
      </w:r>
      <w:r>
        <w:rPr>
          <w:b/>
          <w:bCs/>
        </w:rPr>
        <w:t>severally, but not jointly,</w:t>
      </w:r>
      <w:r>
        <w:rPr/>
        <w:t xml:space="preserve"> guaranteed indebtedness.</w:t>
      </w:r>
    </w:p>
    <w:p>
      <w:pPr>
        <w:pStyle w:val="Normal"/>
        <w:jc w:val="both"/>
        <w:rPr/>
      </w:pPr>
      <w:r>
        <w:rPr/>
      </w:r>
    </w:p>
    <w:p>
      <w:pPr>
        <w:pStyle w:val="Normal"/>
        <w:jc w:val="both"/>
        <w:rPr/>
      </w:pPr>
      <w:r>
        <w:rPr/>
        <w:tab/>
        <w:t>NOW, THEREFORE, in consideration of good and valuable consideration, the receipt of which is hereby acknowledged, the Original Guaranty is hereby amended as follows:</w:t>
      </w:r>
    </w:p>
    <w:p>
      <w:pPr>
        <w:pStyle w:val="Normal"/>
        <w:jc w:val="both"/>
        <w:rPr/>
      </w:pPr>
      <w:r>
        <w:rPr/>
      </w:r>
    </w:p>
    <w:p>
      <w:pPr>
        <w:pStyle w:val="Normal"/>
        <w:numPr>
          <w:ilvl w:val="0"/>
          <w:numId w:val="1"/>
        </w:numPr>
        <w:jc w:val="both"/>
        <w:rPr/>
      </w:pPr>
      <w:r>
        <w:rPr/>
        <w:t>Section 1(b) of the Original Guaranty is hereby deleted in its entirety and the following language is substituted in lieu thereof:</w:t>
      </w:r>
    </w:p>
    <w:p>
      <w:pPr>
        <w:pStyle w:val="Normal"/>
        <w:jc w:val="both"/>
        <w:rPr/>
      </w:pPr>
      <w:r>
        <w:rPr/>
      </w:r>
    </w:p>
    <w:p>
      <w:pPr>
        <w:pStyle w:val="Normal"/>
        <w:ind w:start="1440" w:end="0"/>
        <w:jc w:val="both"/>
        <w:rPr/>
      </w:pPr>
      <w:r>
        <w:rPr/>
        <w:t>“</w:t>
      </w:r>
      <w:r>
        <w:rPr/>
        <w:t xml:space="preserve">(b) The aggregate amount covered by this Guaranty and the Texaco Guaranty and any other guaranties of any Enron or Texaco affiliated entities guarantying the obligations of BMC shall not exceed U.S. Dollars  $25,000,000.00 (“Combined Obligations”).”  </w:t>
      </w:r>
    </w:p>
    <w:p>
      <w:pPr>
        <w:pStyle w:val="Normal"/>
        <w:jc w:val="both"/>
        <w:rPr/>
      </w:pPr>
      <w:r>
        <w:rPr/>
      </w:r>
    </w:p>
    <w:p>
      <w:pPr>
        <w:pStyle w:val="Normal"/>
        <w:numPr>
          <w:ilvl w:val="0"/>
          <w:numId w:val="1"/>
        </w:numPr>
        <w:jc w:val="both"/>
        <w:rPr/>
      </w:pPr>
      <w:r>
        <w:rPr/>
        <w:t>Except for the above stated Amendment, all other terms and conditions of the Original Guaranty shall remain in full force and effect.</w:t>
      </w:r>
    </w:p>
    <w:p>
      <w:pPr>
        <w:pStyle w:val="Normal"/>
        <w:ind w:start="720" w:end="0"/>
        <w:jc w:val="both"/>
        <w:rPr/>
      </w:pPr>
      <w:r>
        <w:rPr/>
      </w:r>
    </w:p>
    <w:p>
      <w:pPr>
        <w:pStyle w:val="Normal"/>
        <w:numPr>
          <w:ilvl w:val="0"/>
          <w:numId w:val="1"/>
        </w:numPr>
        <w:jc w:val="both"/>
        <w:rPr/>
      </w:pPr>
      <w:r>
        <w:rPr/>
        <w:t>This Amendment shall in all respects be governed by, and construed in accordance with, the law of the State of Texas, without regard to principles of conflicts of laws.</w:t>
      </w:r>
    </w:p>
    <w:p>
      <w:pPr>
        <w:pStyle w:val="Normal"/>
        <w:jc w:val="both"/>
        <w:rPr/>
      </w:pPr>
      <w:r>
        <w:rPr/>
      </w:r>
    </w:p>
    <w:p>
      <w:pPr>
        <w:pStyle w:val="Normal"/>
        <w:ind w:firstLine="720" w:end="0"/>
        <w:jc w:val="both"/>
        <w:rPr/>
      </w:pPr>
      <w:r>
        <w:rPr/>
        <w:t>IN WITNESS WHEREOF, the Guarantor has executed this Amendment on January ___, 2001, but effective as of the date first above written.</w:t>
      </w:r>
    </w:p>
    <w:p>
      <w:pPr>
        <w:pStyle w:val="Normal"/>
        <w:ind w:firstLine="720" w:end="0"/>
        <w:jc w:val="both"/>
        <w:rPr/>
      </w:pPr>
      <w:r>
        <w:rPr/>
      </w:r>
    </w:p>
    <w:p>
      <w:pPr>
        <w:pStyle w:val="Normal"/>
        <w:ind w:firstLine="720" w:end="0"/>
        <w:jc w:val="both"/>
        <w:rPr/>
      </w:pPr>
      <w:r>
        <w:rPr/>
        <w:tab/>
        <w:tab/>
        <w:tab/>
        <w:tab/>
        <w:tab/>
      </w:r>
      <w:r>
        <w:rPr>
          <w:b/>
          <w:bCs/>
        </w:rPr>
        <w:t>ENRON CORP.</w:t>
      </w:r>
    </w:p>
    <w:p>
      <w:pPr>
        <w:pStyle w:val="Normal"/>
        <w:ind w:firstLine="720" w:end="0"/>
        <w:jc w:val="both"/>
        <w:rPr>
          <w:b/>
          <w:bCs/>
        </w:rPr>
      </w:pPr>
      <w:r>
        <w:rPr>
          <w:b/>
          <w:bCs/>
        </w:rPr>
      </w:r>
    </w:p>
    <w:p>
      <w:pPr>
        <w:pStyle w:val="Normal"/>
        <w:ind w:firstLine="720" w:end="0"/>
        <w:jc w:val="both"/>
        <w:rPr/>
      </w:pPr>
      <w:r>
        <w:rPr/>
        <w:tab/>
        <w:tab/>
        <w:tab/>
        <w:tab/>
        <w:tab/>
        <w:t>By:</w:t>
      </w:r>
      <w:r>
        <w:rPr>
          <w:u w:val="single"/>
        </w:rPr>
        <w:tab/>
        <w:tab/>
        <w:tab/>
        <w:tab/>
        <w:tab/>
      </w:r>
    </w:p>
    <w:p>
      <w:pPr>
        <w:pStyle w:val="Normal"/>
        <w:ind w:firstLine="720" w:end="0"/>
        <w:jc w:val="both"/>
        <w:rPr/>
      </w:pPr>
      <w:r>
        <w:rPr/>
        <w:tab/>
        <w:tab/>
        <w:tab/>
        <w:tab/>
        <w:tab/>
        <w:t>Name:_________________________</w:t>
      </w:r>
    </w:p>
    <w:p>
      <w:pPr>
        <w:pStyle w:val="Normal"/>
        <w:ind w:firstLine="720" w:end="0"/>
        <w:jc w:val="both"/>
        <w:rPr/>
      </w:pPr>
      <w:r>
        <w:rPr/>
        <w:tab/>
        <w:tab/>
        <w:tab/>
        <w:tab/>
        <w:tab/>
        <w:t>Title: _________________________</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/mnt/main-storage/datasets/enron-docs/doc/AMENDMENT_TO_GUARANTY_Superior_.doc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2001-01-25T17:05:00Z</dcterms:created>
  <dc:creator>ebraden</dc:creator>
  <dc:description/>
  <dc:language>en-CA</dc:language>
  <cp:lastModifiedBy>gnemec</cp:lastModifiedBy>
  <cp:lastPrinted>2001-01-25T17:35:00Z</cp:lastPrinted>
  <dcterms:modified xsi:type="dcterms:W3CDTF">2001-01-25T21:06:00Z</dcterms:modified>
  <cp:revision>9</cp:revision>
  <dc:subject/>
  <dc:title>AMENDMENT TO GUARANTY OF BRIDGELINE HOLDINGS, L</dc:title>
</cp:coreProperties>
</file>