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O:\LEGAL\LMELLEN\CALIFORNIA\AMENDMENTMASTERNETTING AGREEMENT.DOC</w:t>
      </w:r>
    </w:p>
    <w:p>
      <w:pPr>
        <w:pStyle w:val="Normal"/>
        <w:bidi w:val="0"/>
        <w:jc w:val="start"/>
        <w:rPr/>
      </w:pPr>
      <w:r>
        <w:rPr/>
        <w:t>and revised document: O:\LEGAL\LMELLEN\CALIFORNIA\AMENDMENTMASTERNETTING AGREEMENT2.DOC</w:t>
      </w:r>
    </w:p>
    <w:p>
      <w:pPr>
        <w:pStyle w:val="Normal"/>
        <w:bidi w:val="0"/>
        <w:jc w:val="start"/>
        <w:rPr/>
      </w:pPr>
      <w:r>
        <w:rPr/>
      </w:r>
    </w:p>
    <w:p>
      <w:pPr>
        <w:pStyle w:val="Normal"/>
        <w:bidi w:val="0"/>
        <w:jc w:val="start"/>
        <w:rPr/>
      </w:pPr>
      <w:r>
        <w:rPr/>
        <w:t>CompareRite found      12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Underline text surrounded by []</w:t>
      </w:r>
      <w:r>
        <w:br w:type="page"/>
      </w:r>
    </w:p>
    <w:p>
      <w:pPr>
        <w:pStyle w:val="Normal"/>
        <w:bidi w:val="0"/>
        <w:jc w:val="center"/>
        <w:rPr>
          <w:rFonts w:ascii="Times New Roman" w:hAnsi="Times New Roman"/>
          <w:b/>
        </w:rPr>
      </w:pPr>
      <w:r>
        <w:rPr>
          <w:rFonts w:ascii="Times New Roman" w:hAnsi="Times New Roman"/>
          <w:b/>
        </w:rPr>
        <w:t xml:space="preserve">FIRST AMENDMENT TO MASTER NETTING, </w:t>
      </w:r>
    </w:p>
    <w:p>
      <w:pPr>
        <w:pStyle w:val="Normal"/>
        <w:bidi w:val="0"/>
        <w:jc w:val="center"/>
        <w:rPr>
          <w:rFonts w:ascii="Times New Roman" w:hAnsi="Times New Roman"/>
          <w:b/>
        </w:rPr>
      </w:pPr>
      <w:r>
        <w:rPr>
          <w:rFonts w:ascii="Times New Roman" w:hAnsi="Times New Roman"/>
          <w:b/>
        </w:rPr>
        <w:t>SETOFF, AND SECURITY AGREEMENT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 xml:space="preserve">This First Amendment to Master Netting, Setoff, and Security Agreement (this </w:t>
      </w:r>
      <w:r>
        <w:rPr>
          <w:rFonts w:ascii="Arial" w:hAnsi="Arial"/>
          <w:sz w:val="22"/>
        </w:rPr>
        <w:t>"</w:t>
      </w:r>
      <w:r>
        <w:rPr>
          <w:rFonts w:ascii="Times New Roman" w:hAnsi="Times New Roman"/>
          <w:sz w:val="22"/>
          <w:u w:val="single"/>
        </w:rPr>
        <w:t>Amendment</w:t>
      </w:r>
      <w:r>
        <w:rPr>
          <w:rFonts w:ascii="Arial" w:hAnsi="Arial"/>
          <w:sz w:val="22"/>
        </w:rPr>
        <w:t>"</w:t>
      </w:r>
      <w:r>
        <w:rPr>
          <w:rFonts w:ascii="Times New Roman" w:hAnsi="Times New Roman"/>
          <w:sz w:val="22"/>
        </w:rPr>
        <w:t xml:space="preserve">) is made and entered into effective as of April </w:t>
      </w:r>
      <w:r>
        <w:rPr>
          <w:rFonts w:ascii="Times New Roman" w:hAnsi="Times New Roman"/>
          <w:strike/>
          <w:sz w:val="22"/>
        </w:rPr>
        <w:t>\13\</w:t>
      </w:r>
      <w:r>
        <w:rPr>
          <w:rFonts w:ascii="Times New Roman" w:hAnsi="Times New Roman"/>
          <w:sz w:val="22"/>
        </w:rPr>
        <w:t xml:space="preserve"> </w:t>
      </w:r>
      <w:r>
        <w:rPr>
          <w:rFonts w:ascii="Times New Roman" w:hAnsi="Times New Roman"/>
          <w:sz w:val="22"/>
          <w:u w:val="single"/>
        </w:rPr>
        <w:t>[16]</w:t>
      </w:r>
      <w:r>
        <w:rPr>
          <w:rFonts w:ascii="Times New Roman" w:hAnsi="Times New Roman"/>
          <w:sz w:val="22"/>
        </w:rPr>
        <w:t>, 2001, by and among the undersigned Enron entities (collectively, the "</w:t>
      </w:r>
      <w:r>
        <w:rPr>
          <w:rFonts w:ascii="Times New Roman" w:hAnsi="Times New Roman"/>
          <w:sz w:val="22"/>
          <w:u w:val="single"/>
        </w:rPr>
        <w:t>Enron Parties</w:t>
      </w:r>
      <w:r>
        <w:rPr>
          <w:rFonts w:ascii="Times New Roman" w:hAnsi="Times New Roman"/>
          <w:sz w:val="22"/>
        </w:rPr>
        <w:t>"</w:t>
      </w:r>
      <w:r>
        <w:rPr>
          <w:rFonts w:ascii="Times New Roman" w:hAnsi="Times New Roman"/>
          <w:sz w:val="22"/>
          <w:u w:val="single"/>
        </w:rPr>
        <w:t>[)]</w:t>
      </w:r>
      <w:r>
        <w:rPr>
          <w:rFonts w:ascii="Times New Roman" w:hAnsi="Times New Roman"/>
          <w:sz w:val="22"/>
        </w:rPr>
        <w:t xml:space="preserve"> and the undersigned PG&amp;E entities (collectively, the "</w:t>
      </w:r>
      <w:r>
        <w:rPr>
          <w:rFonts w:ascii="Times New Roman" w:hAnsi="Times New Roman"/>
          <w:sz w:val="22"/>
          <w:u w:val="single"/>
        </w:rPr>
        <w:t>PG&amp;E Parties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The Enron Parties and the PG&amp;E Parties have entered into that certain Master Netting, Setoff, and Security Agreement (the "</w:t>
      </w:r>
      <w:r>
        <w:rPr>
          <w:rFonts w:ascii="Times New Roman" w:hAnsi="Times New Roman"/>
          <w:sz w:val="22"/>
          <w:u w:val="single"/>
        </w:rPr>
        <w:t>Master Netting Agreement</w:t>
      </w:r>
      <w:r>
        <w:rPr>
          <w:rFonts w:ascii="Times New Roman" w:hAnsi="Times New Roman"/>
          <w:sz w:val="22"/>
        </w:rPr>
        <w:t>") dated as of February 2, 2001, and now desire to amend the Master Netting Agreement as set forth herein.</w:t>
      </w:r>
    </w:p>
    <w:p>
      <w:pPr>
        <w:pStyle w:val="Normal"/>
        <w:bidi w:val="0"/>
        <w:jc w:val="both"/>
        <w:rPr>
          <w:rFonts w:ascii="Times New Roman" w:hAnsi="Times New Roman"/>
          <w:sz w:val="22"/>
        </w:rPr>
      </w:pPr>
      <w:r>
        <w:rPr>
          <w:rFonts w:ascii="Times New Roman" w:hAnsi="Times New Roman"/>
          <w:sz w:val="22"/>
        </w:rPr>
      </w:r>
    </w:p>
    <w:p>
      <w:pPr>
        <w:pStyle w:val="Heading3"/>
        <w:bidi w:val="0"/>
        <w:spacing w:before="240" w:after="0"/>
        <w:rPr>
          <w:rFonts w:ascii="Times New Roman" w:hAnsi="Times New Roman"/>
        </w:rPr>
      </w:pPr>
      <w:r>
        <w:rPr>
          <w:rFonts w:ascii="Times New Roman" w:hAnsi="Times New Roman"/>
        </w:rPr>
        <w:t>AGREEMENT</w:t>
      </w:r>
    </w:p>
    <w:p>
      <w:pPr>
        <w:pStyle w:val="Normal"/>
        <w:bidi w:val="0"/>
        <w:jc w:val="both"/>
        <w:rPr>
          <w:rFonts w:ascii="Times New Roman" w:hAnsi="Times New Roman"/>
          <w:sz w:val="20"/>
        </w:rPr>
      </w:pPr>
      <w:r>
        <w:rPr>
          <w:rFonts w:ascii="Times New Roman" w:hAnsi="Times New Roman"/>
          <w:sz w:val="20"/>
        </w:rPr>
        <w:t xml:space="preserve">      </w:t>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the receipt and sufficiency of which are hereby acknowledged, the Parties agree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Defined terms used or incorporated by reference in this Amendment and not otherwise defined herein have the same meanings in this Amendment as given to them by the Master Netting Agreement.</w:t>
      </w:r>
    </w:p>
    <w:p>
      <w:pPr>
        <w:pStyle w:val="OmniPage4"/>
        <w:bidi w:val="0"/>
        <w:spacing w:before="240" w:after="0"/>
        <w:ind w:firstLine="720" w:end="72"/>
        <w:jc w:val="both"/>
        <w:rPr>
          <w:rFonts w:ascii="Times New Roman" w:hAnsi="Times New Roman"/>
          <w:sz w:val="22"/>
        </w:rPr>
      </w:pPr>
      <w:r>
        <w:rPr>
          <w:rFonts w:ascii="Times New Roman" w:hAnsi="Times New Roman"/>
          <w:b/>
          <w:sz w:val="22"/>
        </w:rPr>
        <w:t xml:space="preserve">2.        </w:t>
      </w:r>
      <w:r>
        <w:rPr>
          <w:rFonts w:ascii="Times New Roman" w:hAnsi="Times New Roman"/>
          <w:sz w:val="22"/>
        </w:rPr>
        <w:t>Section 9 of the Master Netting Agreement is hereby amended in its entirety as follows:</w:t>
      </w:r>
    </w:p>
    <w:p>
      <w:pPr>
        <w:pStyle w:val="OmniPage2"/>
        <w:bidi w:val="0"/>
        <w:ind w:firstLine="720"/>
        <w:jc w:val="both"/>
        <w:rPr>
          <w:rFonts w:ascii="Times New Roman" w:hAnsi="Times New Roman"/>
          <w:sz w:val="22"/>
        </w:rPr>
      </w:pPr>
      <w:r>
        <w:rPr>
          <w:rFonts w:ascii="Times New Roman" w:hAnsi="Times New Roman"/>
          <w:sz w:val="22"/>
        </w:rPr>
      </w:r>
    </w:p>
    <w:p>
      <w:pPr>
        <w:pStyle w:val="OmniPage5"/>
        <w:bidi w:val="0"/>
        <w:spacing w:before="0" w:after="240"/>
        <w:ind w:firstLine="360" w:start="720" w:end="101"/>
        <w:jc w:val="both"/>
        <w:rPr>
          <w:rFonts w:ascii="Times New Roman" w:hAnsi="Times New Roman"/>
          <w:sz w:val="22"/>
        </w:rPr>
      </w:pPr>
      <w:r>
        <w:rPr>
          <w:rFonts w:ascii="Times New Roman" w:hAnsi="Times New Roman"/>
          <w:sz w:val="22"/>
        </w:rPr>
        <w:t xml:space="preserve">"9.    </w:t>
      </w:r>
      <w:r>
        <w:rPr>
          <w:rFonts w:ascii="Times New Roman" w:hAnsi="Times New Roman"/>
          <w:b/>
          <w:sz w:val="22"/>
        </w:rPr>
        <w:t xml:space="preserve">Governing Law.    </w:t>
      </w:r>
      <w:r>
        <w:rPr>
          <w:rFonts w:ascii="Times New Roman" w:hAnsi="Times New Roman"/>
          <w:sz w:val="22"/>
        </w:rPr>
        <w:t>This Agreement shall be governed by, and construed in accordance with, the laws of the State of New York without reference to its choice of law doctrine."</w:t>
      </w:r>
    </w:p>
    <w:p>
      <w:pPr>
        <w:pStyle w:val="OmniPage5"/>
        <w:tabs>
          <w:tab w:val="clear" w:pos="720"/>
          <w:tab w:val="left" w:pos="1080" w:leader="none"/>
        </w:tabs>
        <w:bidi w:val="0"/>
        <w:ind w:hanging="360" w:start="1080" w:end="136"/>
        <w:jc w:val="both"/>
        <w:rPr>
          <w:rFonts w:ascii="Times New Roman" w:hAnsi="Times New Roman"/>
          <w:sz w:val="22"/>
        </w:rPr>
      </w:pPr>
      <w:r>
        <w:rPr>
          <w:rFonts w:ascii="Times New Roman" w:hAnsi="Times New Roman"/>
          <w:b/>
          <w:sz w:val="22"/>
        </w:rPr>
        <w:t>3.</w:t>
        <w:tab/>
      </w:r>
      <w:r>
        <w:rPr>
          <w:rFonts w:ascii="Times New Roman" w:hAnsi="Times New Roman"/>
          <w:sz w:val="22"/>
        </w:rPr>
        <w:t>Section 12 of the Master Netting Agreement is hereby amended in its entirety as follows:</w:t>
      </w:r>
    </w:p>
    <w:p>
      <w:pPr>
        <w:pStyle w:val="OmniPage5"/>
        <w:bidi w:val="0"/>
        <w:ind w:hanging="0" w:start="810" w:end="136"/>
        <w:jc w:val="both"/>
        <w:rPr>
          <w:rFonts w:ascii="Times New Roman" w:hAnsi="Times New Roman"/>
          <w:sz w:val="22"/>
        </w:rPr>
      </w:pPr>
      <w:r>
        <w:rPr>
          <w:rFonts w:ascii="Times New Roman" w:hAnsi="Times New Roman"/>
          <w:sz w:val="22"/>
        </w:rPr>
      </w:r>
    </w:p>
    <w:p>
      <w:pPr>
        <w:pStyle w:val="OmniPage5"/>
        <w:bidi w:val="0"/>
        <w:ind w:firstLine="360" w:start="720" w:end="138"/>
        <w:jc w:val="both"/>
        <w:rPr>
          <w:rFonts w:ascii="Times New Roman" w:hAnsi="Times New Roman"/>
          <w:sz w:val="22"/>
        </w:rPr>
      </w:pPr>
      <w:r>
        <w:rPr>
          <w:rFonts w:ascii="Times New Roman" w:hAnsi="Times New Roman"/>
          <w:sz w:val="22"/>
        </w:rPr>
        <w:t xml:space="preserve">"12.    </w:t>
      </w:r>
      <w:r>
        <w:rPr>
          <w:rFonts w:ascii="Times New Roman" w:hAnsi="Times New Roman"/>
          <w:b/>
          <w:sz w:val="22"/>
        </w:rPr>
        <w:t xml:space="preserve">Notices.    </w:t>
      </w:r>
      <w:r>
        <w:rPr>
          <w:rFonts w:ascii="Times New Roman" w:hAnsi="Times New Roman"/>
          <w:sz w:val="22"/>
        </w:rPr>
        <w:t xml:space="preserve">Any and all notices, statements, demands, or other communications hereunder may be given by the Enron Parties to the PG&amp;E Parties or the PG&amp;E Parties to the Enron Parties in writing by mail, facsimile, e-mail, electronic message, or messenger, to the individuals and at the facsimile numbers, e-mail addresses, or other locations as follows </w:t>
      </w:r>
      <w:r>
        <w:rPr>
          <w:rFonts w:ascii="Times New Roman" w:hAnsi="Times New Roman"/>
          <w:sz w:val="22"/>
          <w:u w:val="single"/>
        </w:rPr>
        <w:t>[or such other addresses as the Enron Parties or the PG&amp;E Parties shall notify the other from time to time]</w:t>
      </w:r>
      <w:r>
        <w:rPr>
          <w:rFonts w:ascii="Times New Roman" w:hAnsi="Times New Roman"/>
          <w:sz w:val="22"/>
        </w:rPr>
        <w:t>:</w:t>
      </w:r>
    </w:p>
    <w:p>
      <w:pPr>
        <w:pStyle w:val="OmniPage5"/>
        <w:bidi w:val="0"/>
        <w:ind w:firstLine="360" w:start="720" w:end="138"/>
        <w:jc w:val="both"/>
        <w:rPr>
          <w:rFonts w:ascii="Times New Roman" w:hAnsi="Times New Roman"/>
          <w:sz w:val="22"/>
        </w:rPr>
      </w:pPr>
      <w:r>
        <w:rPr>
          <w:rFonts w:ascii="Times New Roman" w:hAnsi="Times New Roman"/>
          <w:sz w:val="22"/>
        </w:rPr>
      </w:r>
    </w:p>
    <w:p>
      <w:pPr>
        <w:pStyle w:val="OmniPage5"/>
        <w:bidi w:val="0"/>
        <w:ind w:firstLine="360" w:start="720" w:end="144"/>
        <w:jc w:val="both"/>
        <w:rPr>
          <w:rFonts w:ascii="Times New Roman" w:hAnsi="Times New Roman"/>
          <w:sz w:val="22"/>
        </w:rPr>
      </w:pPr>
      <w:r>
        <w:rPr>
          <w:rFonts w:ascii="Times New Roman" w:hAnsi="Times New Roman"/>
          <w:sz w:val="22"/>
        </w:rPr>
        <w:tab/>
      </w:r>
      <w:r>
        <w:rPr>
          <w:rFonts w:ascii="Times New Roman" w:hAnsi="Times New Roman"/>
          <w:sz w:val="22"/>
          <w:u w:val="single"/>
        </w:rPr>
        <w:t>Enron Parties</w:t>
      </w:r>
    </w:p>
    <w:p>
      <w:pPr>
        <w:pStyle w:val="OmniPage5"/>
        <w:bidi w:val="0"/>
        <w:spacing w:before="120" w:after="0"/>
        <w:ind w:firstLine="360" w:start="720" w:end="144"/>
        <w:jc w:val="both"/>
        <w:rPr>
          <w:rFonts w:ascii="Times New Roman" w:hAnsi="Times New Roman"/>
          <w:sz w:val="22"/>
        </w:rPr>
      </w:pPr>
      <w:r>
        <w:rPr>
          <w:rFonts w:ascii="Times New Roman" w:hAnsi="Times New Roman"/>
          <w:sz w:val="22"/>
        </w:rPr>
        <w:tab/>
        <w:t>William S. Bradford</w:t>
      </w:r>
    </w:p>
    <w:p>
      <w:pPr>
        <w:pStyle w:val="OmniPage5"/>
        <w:bidi w:val="0"/>
        <w:ind w:firstLine="360" w:start="720" w:end="138"/>
        <w:jc w:val="both"/>
        <w:rPr>
          <w:rFonts w:ascii="Times New Roman" w:hAnsi="Times New Roman"/>
          <w:sz w:val="22"/>
        </w:rPr>
      </w:pPr>
      <w:r>
        <w:rPr>
          <w:rFonts w:ascii="Times New Roman" w:hAnsi="Times New Roman"/>
          <w:sz w:val="22"/>
        </w:rPr>
        <w:tab/>
        <w:t>Enron Corp.</w:t>
      </w:r>
    </w:p>
    <w:p>
      <w:pPr>
        <w:pStyle w:val="OmniPage5"/>
        <w:bidi w:val="0"/>
        <w:ind w:firstLine="360" w:start="720" w:end="138"/>
        <w:jc w:val="both"/>
        <w:rPr>
          <w:rFonts w:ascii="Times New Roman" w:hAnsi="Times New Roman"/>
          <w:sz w:val="22"/>
        </w:rPr>
      </w:pPr>
      <w:r>
        <w:rPr>
          <w:rFonts w:ascii="Times New Roman" w:hAnsi="Times New Roman"/>
          <w:sz w:val="22"/>
        </w:rPr>
        <w:tab/>
        <w:t>1400 Smith St.</w:t>
      </w:r>
    </w:p>
    <w:p>
      <w:pPr>
        <w:pStyle w:val="OmniPage5"/>
        <w:bidi w:val="0"/>
        <w:ind w:firstLine="360" w:start="720" w:end="138"/>
        <w:jc w:val="both"/>
        <w:rPr>
          <w:rFonts w:ascii="Times New Roman" w:hAnsi="Times New Roman"/>
          <w:sz w:val="22"/>
        </w:rPr>
      </w:pPr>
      <w:r>
        <w:rPr>
          <w:rFonts w:ascii="Times New Roman" w:hAnsi="Times New Roman"/>
          <w:sz w:val="22"/>
        </w:rPr>
        <w:tab/>
        <w:t>Houston, Texas    77002</w:t>
      </w:r>
    </w:p>
    <w:p>
      <w:pPr>
        <w:pStyle w:val="OmniPage5"/>
        <w:bidi w:val="0"/>
        <w:ind w:firstLine="360" w:start="720" w:end="138"/>
        <w:jc w:val="both"/>
        <w:rPr>
          <w:rFonts w:ascii="Times New Roman" w:hAnsi="Times New Roman"/>
          <w:sz w:val="22"/>
        </w:rPr>
      </w:pPr>
      <w:r>
        <w:rPr>
          <w:rFonts w:ascii="Times New Roman" w:hAnsi="Times New Roman"/>
          <w:sz w:val="22"/>
        </w:rPr>
        <w:tab/>
        <w:t>Tel:    (713) 853-3831</w:t>
      </w:r>
    </w:p>
    <w:p>
      <w:pPr>
        <w:pStyle w:val="OmniPage5"/>
        <w:bidi w:val="0"/>
        <w:ind w:firstLine="360" w:start="720" w:end="138"/>
        <w:jc w:val="both"/>
        <w:rPr>
          <w:rFonts w:ascii="Times New Roman" w:hAnsi="Times New Roman"/>
          <w:sz w:val="22"/>
        </w:rPr>
      </w:pPr>
      <w:r>
        <w:rPr>
          <w:rFonts w:ascii="Times New Roman" w:hAnsi="Times New Roman"/>
          <w:sz w:val="22"/>
        </w:rPr>
        <w:tab/>
        <w:t>Fax:    (713) 853-9476</w:t>
      </w:r>
    </w:p>
    <w:p>
      <w:pPr>
        <w:pStyle w:val="OmniPage5"/>
        <w:bidi w:val="0"/>
        <w:ind w:firstLine="360" w:start="720" w:end="138"/>
        <w:jc w:val="both"/>
        <w:rPr>
          <w:rFonts w:ascii="Times New Roman" w:hAnsi="Times New Roman"/>
          <w:sz w:val="22"/>
        </w:rPr>
      </w:pPr>
      <w:r>
        <w:rPr>
          <w:rFonts w:ascii="Times New Roman" w:hAnsi="Times New Roman"/>
          <w:sz w:val="22"/>
        </w:rPr>
        <w:tab/>
        <w:t>Email:    william.s.bradford@enron.com</w:t>
      </w:r>
    </w:p>
    <w:p>
      <w:pPr>
        <w:pStyle w:val="OmniPage5"/>
        <w:bidi w:val="0"/>
        <w:ind w:firstLine="360" w:start="720" w:end="138"/>
        <w:jc w:val="both"/>
        <w:rPr>
          <w:rFonts w:ascii="Times New Roman" w:hAnsi="Times New Roman"/>
          <w:sz w:val="22"/>
        </w:rPr>
      </w:pPr>
      <w:r>
        <w:rPr>
          <w:rFonts w:ascii="Times New Roman" w:hAnsi="Times New Roman"/>
          <w:sz w:val="22"/>
        </w:rPr>
      </w:r>
    </w:p>
    <w:p>
      <w:pPr>
        <w:pStyle w:val="OmniPage5"/>
        <w:bidi w:val="0"/>
        <w:ind w:firstLine="360" w:start="720" w:end="138"/>
        <w:jc w:val="both"/>
        <w:rPr>
          <w:rFonts w:ascii="Times New Roman" w:hAnsi="Times New Roman"/>
          <w:sz w:val="22"/>
        </w:rPr>
      </w:pPr>
      <w:r>
        <w:rPr>
          <w:rFonts w:ascii="Times New Roman" w:hAnsi="Times New Roman"/>
          <w:sz w:val="22"/>
        </w:rPr>
        <w:tab/>
        <w:t>With a copy to:</w:t>
      </w:r>
    </w:p>
    <w:p>
      <w:pPr>
        <w:pStyle w:val="OmniPage5"/>
        <w:bidi w:val="0"/>
        <w:spacing w:before="120" w:after="0"/>
        <w:ind w:firstLine="360" w:start="720" w:end="144"/>
        <w:jc w:val="both"/>
        <w:rPr>
          <w:rFonts w:ascii="Times New Roman" w:hAnsi="Times New Roman"/>
          <w:sz w:val="22"/>
        </w:rPr>
      </w:pPr>
      <w:r>
        <w:rPr>
          <w:rFonts w:ascii="Times New Roman" w:hAnsi="Times New Roman"/>
          <w:sz w:val="22"/>
        </w:rPr>
        <w:tab/>
        <w:t>Lisa J. Mellencamp</w:t>
      </w:r>
    </w:p>
    <w:p>
      <w:pPr>
        <w:pStyle w:val="OmniPage5"/>
        <w:bidi w:val="0"/>
        <w:ind w:firstLine="360" w:start="720" w:end="138"/>
        <w:jc w:val="both"/>
        <w:rPr>
          <w:rFonts w:ascii="Times New Roman" w:hAnsi="Times New Roman"/>
          <w:sz w:val="22"/>
        </w:rPr>
      </w:pPr>
      <w:r>
        <w:rPr>
          <w:rFonts w:ascii="Times New Roman" w:hAnsi="Times New Roman"/>
          <w:sz w:val="22"/>
        </w:rPr>
        <w:tab/>
        <w:t>Enron North America Corp.</w:t>
      </w:r>
    </w:p>
    <w:p>
      <w:pPr>
        <w:pStyle w:val="OmniPage5"/>
        <w:bidi w:val="0"/>
        <w:ind w:firstLine="360" w:start="720" w:end="138"/>
        <w:jc w:val="both"/>
        <w:rPr>
          <w:rFonts w:ascii="Times New Roman" w:hAnsi="Times New Roman"/>
          <w:sz w:val="22"/>
        </w:rPr>
      </w:pPr>
      <w:r>
        <w:rPr>
          <w:rFonts w:ascii="Times New Roman" w:hAnsi="Times New Roman"/>
          <w:sz w:val="22"/>
        </w:rPr>
        <w:tab/>
        <w:t>1400 Smith St.</w:t>
      </w:r>
    </w:p>
    <w:p>
      <w:pPr>
        <w:pStyle w:val="OmniPage5"/>
        <w:bidi w:val="0"/>
        <w:ind w:firstLine="360" w:start="720" w:end="138"/>
        <w:jc w:val="both"/>
        <w:rPr>
          <w:rFonts w:ascii="Times New Roman" w:hAnsi="Times New Roman"/>
          <w:sz w:val="22"/>
        </w:rPr>
      </w:pPr>
      <w:r>
        <w:rPr>
          <w:rFonts w:ascii="Times New Roman" w:hAnsi="Times New Roman"/>
          <w:sz w:val="22"/>
        </w:rPr>
        <w:tab/>
        <w:t>Houston, Texas    77002</w:t>
      </w:r>
    </w:p>
    <w:p>
      <w:pPr>
        <w:pStyle w:val="OmniPage5"/>
        <w:bidi w:val="0"/>
        <w:ind w:firstLine="360" w:start="720" w:end="138"/>
        <w:jc w:val="both"/>
        <w:rPr>
          <w:rFonts w:ascii="Times New Roman" w:hAnsi="Times New Roman"/>
          <w:sz w:val="22"/>
        </w:rPr>
      </w:pPr>
      <w:r>
        <w:rPr>
          <w:rFonts w:ascii="Times New Roman" w:hAnsi="Times New Roman"/>
          <w:sz w:val="22"/>
        </w:rPr>
        <w:tab/>
        <w:t>Tel: (713) 853-7986</w:t>
      </w:r>
    </w:p>
    <w:p>
      <w:pPr>
        <w:pStyle w:val="OmniPage5"/>
        <w:bidi w:val="0"/>
        <w:ind w:firstLine="360" w:start="720" w:end="138"/>
        <w:jc w:val="both"/>
        <w:rPr>
          <w:rFonts w:ascii="Times New Roman" w:hAnsi="Times New Roman"/>
          <w:sz w:val="22"/>
        </w:rPr>
      </w:pPr>
      <w:r>
        <w:rPr>
          <w:rFonts w:ascii="Times New Roman" w:hAnsi="Times New Roman"/>
          <w:sz w:val="22"/>
        </w:rPr>
        <w:tab/>
        <w:t>Fax: (713) 646-3393</w:t>
      </w:r>
    </w:p>
    <w:p>
      <w:pPr>
        <w:pStyle w:val="OmniPage5"/>
        <w:bidi w:val="0"/>
        <w:ind w:firstLine="360" w:start="720" w:end="138"/>
        <w:jc w:val="both"/>
        <w:rPr>
          <w:rFonts w:ascii="Times New Roman" w:hAnsi="Times New Roman"/>
          <w:sz w:val="22"/>
        </w:rPr>
      </w:pPr>
      <w:r>
        <w:rPr>
          <w:rFonts w:ascii="Times New Roman" w:hAnsi="Times New Roman"/>
          <w:sz w:val="22"/>
        </w:rPr>
        <w:tab/>
        <w:t>Email:    lisa.mellencamp@enron.com</w:t>
      </w:r>
    </w:p>
    <w:p>
      <w:pPr>
        <w:pStyle w:val="OmniPage5"/>
        <w:bidi w:val="0"/>
        <w:ind w:firstLine="360" w:start="720" w:end="138"/>
        <w:jc w:val="both"/>
        <w:rPr>
          <w:rFonts w:ascii="Times New Roman" w:hAnsi="Times New Roman"/>
          <w:sz w:val="22"/>
        </w:rPr>
      </w:pPr>
      <w:r>
        <w:rPr>
          <w:rFonts w:ascii="Times New Roman" w:hAnsi="Times New Roman"/>
          <w:sz w:val="22"/>
        </w:rPr>
      </w:r>
    </w:p>
    <w:p>
      <w:pPr>
        <w:pStyle w:val="OmniPage5"/>
        <w:bidi w:val="0"/>
        <w:ind w:firstLine="360" w:start="720" w:end="138"/>
        <w:jc w:val="both"/>
        <w:rPr>
          <w:rFonts w:ascii="Times New Roman" w:hAnsi="Times New Roman"/>
          <w:sz w:val="22"/>
        </w:rPr>
      </w:pPr>
      <w:r>
        <w:rPr>
          <w:rFonts w:ascii="Times New Roman" w:hAnsi="Times New Roman"/>
          <w:sz w:val="22"/>
        </w:rPr>
        <w:tab/>
      </w:r>
      <w:r>
        <w:rPr>
          <w:rFonts w:ascii="Times New Roman" w:hAnsi="Times New Roman"/>
          <w:sz w:val="22"/>
          <w:u w:val="single"/>
        </w:rPr>
        <w:t>PG&amp;E Parties</w:t>
      </w:r>
    </w:p>
    <w:p>
      <w:pPr>
        <w:pStyle w:val="OmniPage5"/>
        <w:bidi w:val="0"/>
        <w:spacing w:before="120" w:after="0"/>
        <w:ind w:firstLine="360" w:start="720" w:end="144"/>
        <w:jc w:val="both"/>
        <w:rPr>
          <w:rFonts w:ascii="Times New Roman" w:hAnsi="Times New Roman"/>
          <w:sz w:val="22"/>
        </w:rPr>
      </w:pPr>
      <w:r>
        <w:rPr>
          <w:rFonts w:ascii="Times New Roman" w:hAnsi="Times New Roman"/>
          <w:sz w:val="22"/>
        </w:rPr>
        <w:tab/>
      </w:r>
      <w:r>
        <w:rPr>
          <w:rFonts w:ascii="Times New Roman" w:hAnsi="Times New Roman"/>
          <w:strike/>
          <w:sz w:val="22"/>
        </w:rPr>
        <w:t>\Peter Meier\</w:t>
      </w:r>
      <w:r>
        <w:rPr>
          <w:rFonts w:ascii="Times New Roman" w:hAnsi="Times New Roman"/>
          <w:sz w:val="22"/>
        </w:rPr>
        <w:t xml:space="preserve"> </w:t>
      </w:r>
      <w:r>
        <w:rPr>
          <w:rFonts w:ascii="Times New Roman" w:hAnsi="Times New Roman"/>
          <w:sz w:val="22"/>
          <w:u w:val="single"/>
        </w:rPr>
        <w:t>[Dan Sarti]</w:t>
      </w:r>
    </w:p>
    <w:p>
      <w:pPr>
        <w:pStyle w:val="OmniPage5"/>
        <w:bidi w:val="0"/>
        <w:ind w:firstLine="360" w:start="720" w:end="138"/>
        <w:jc w:val="both"/>
        <w:rPr>
          <w:rFonts w:ascii="Times New Roman" w:hAnsi="Times New Roman"/>
          <w:sz w:val="22"/>
        </w:rPr>
      </w:pPr>
      <w:r>
        <w:rPr>
          <w:rFonts w:ascii="Times New Roman" w:hAnsi="Times New Roman"/>
          <w:sz w:val="22"/>
        </w:rPr>
        <w:tab/>
        <w:t>PG&amp;E Energy Trading Holdings Corporation</w:t>
      </w:r>
    </w:p>
    <w:p>
      <w:pPr>
        <w:pStyle w:val="OmniPage5"/>
        <w:bidi w:val="0"/>
        <w:ind w:firstLine="360" w:start="720" w:end="138"/>
        <w:jc w:val="both"/>
        <w:rPr>
          <w:rFonts w:ascii="Times New Roman" w:hAnsi="Times New Roman"/>
          <w:sz w:val="22"/>
        </w:rPr>
      </w:pPr>
      <w:r>
        <w:rPr>
          <w:rFonts w:ascii="Times New Roman" w:hAnsi="Times New Roman"/>
          <w:sz w:val="22"/>
        </w:rPr>
        <w:tab/>
        <w:t>7500 Old Georgetown Road</w:t>
      </w:r>
    </w:p>
    <w:p>
      <w:pPr>
        <w:pStyle w:val="OmniPage5"/>
        <w:bidi w:val="0"/>
        <w:ind w:firstLine="360" w:start="720" w:end="138"/>
        <w:jc w:val="both"/>
        <w:rPr>
          <w:rFonts w:ascii="Times New Roman" w:hAnsi="Times New Roman"/>
          <w:sz w:val="22"/>
        </w:rPr>
      </w:pPr>
      <w:r>
        <w:rPr>
          <w:rFonts w:ascii="Times New Roman" w:hAnsi="Times New Roman"/>
          <w:sz w:val="22"/>
        </w:rPr>
        <w:tab/>
        <w:t>Bethesda, Maryland    20814</w:t>
      </w:r>
    </w:p>
    <w:p>
      <w:pPr>
        <w:pStyle w:val="OmniPage5"/>
        <w:bidi w:val="0"/>
        <w:ind w:firstLine="360" w:start="720" w:end="138"/>
        <w:jc w:val="both"/>
        <w:rPr>
          <w:rFonts w:ascii="Times New Roman" w:hAnsi="Times New Roman"/>
          <w:sz w:val="22"/>
        </w:rPr>
      </w:pPr>
      <w:r>
        <w:rPr>
          <w:rFonts w:ascii="Times New Roman" w:hAnsi="Times New Roman"/>
          <w:sz w:val="22"/>
        </w:rPr>
        <w:tab/>
        <w:t>Tel:    (301) 280-</w:t>
      </w:r>
      <w:r>
        <w:rPr>
          <w:rFonts w:ascii="Times New Roman" w:hAnsi="Times New Roman"/>
          <w:strike/>
          <w:sz w:val="22"/>
        </w:rPr>
        <w:t>\6817\</w:t>
      </w:r>
      <w:r>
        <w:rPr>
          <w:rFonts w:ascii="Times New Roman" w:hAnsi="Times New Roman"/>
          <w:sz w:val="22"/>
        </w:rPr>
        <w:t xml:space="preserve"> </w:t>
      </w:r>
      <w:r>
        <w:rPr>
          <w:rFonts w:ascii="Times New Roman" w:hAnsi="Times New Roman"/>
          <w:sz w:val="22"/>
          <w:u w:val="single"/>
        </w:rPr>
        <w:t>[6078]</w:t>
      </w:r>
      <w:r>
        <w:rPr>
          <w:rFonts w:ascii="Times New Roman" w:hAnsi="Times New Roman"/>
          <w:sz w:val="22"/>
        </w:rPr>
        <w:t xml:space="preserve">    </w:t>
      </w:r>
    </w:p>
    <w:p>
      <w:pPr>
        <w:pStyle w:val="OmniPage5"/>
        <w:bidi w:val="0"/>
        <w:ind w:firstLine="360" w:start="720" w:end="138"/>
        <w:jc w:val="both"/>
        <w:rPr>
          <w:rFonts w:ascii="Times New Roman" w:hAnsi="Times New Roman"/>
          <w:sz w:val="22"/>
        </w:rPr>
      </w:pPr>
      <w:r>
        <w:rPr>
          <w:rFonts w:ascii="Times New Roman" w:hAnsi="Times New Roman"/>
          <w:sz w:val="22"/>
        </w:rPr>
        <w:tab/>
        <w:t>Fax:    (301) 280-</w:t>
      </w:r>
      <w:r>
        <w:rPr>
          <w:rFonts w:ascii="Times New Roman" w:hAnsi="Times New Roman"/>
          <w:strike/>
          <w:sz w:val="22"/>
        </w:rPr>
        <w:t>\6913\</w:t>
      </w:r>
      <w:r>
        <w:rPr>
          <w:rFonts w:ascii="Times New Roman" w:hAnsi="Times New Roman"/>
          <w:sz w:val="22"/>
        </w:rPr>
        <w:t xml:space="preserve"> </w:t>
      </w:r>
      <w:r>
        <w:rPr>
          <w:rFonts w:ascii="Times New Roman" w:hAnsi="Times New Roman"/>
          <w:sz w:val="22"/>
          <w:u w:val="single"/>
        </w:rPr>
        <w:t>[5700]</w:t>
      </w:r>
    </w:p>
    <w:p>
      <w:pPr>
        <w:pStyle w:val="OmniPage5"/>
        <w:bidi w:val="0"/>
        <w:ind w:firstLine="360" w:start="720" w:end="138"/>
        <w:jc w:val="both"/>
        <w:rPr>
          <w:rFonts w:ascii="Times New Roman" w:hAnsi="Times New Roman"/>
          <w:sz w:val="22"/>
        </w:rPr>
      </w:pPr>
      <w:r>
        <w:rPr>
          <w:rFonts w:ascii="Times New Roman" w:hAnsi="Times New Roman"/>
          <w:sz w:val="22"/>
        </w:rPr>
        <w:tab/>
        <w:t xml:space="preserve">Email: </w:t>
      </w:r>
      <w:r>
        <w:rPr>
          <w:rFonts w:ascii="Times New Roman" w:hAnsi="Times New Roman"/>
          <w:strike/>
          <w:sz w:val="22"/>
        </w:rPr>
        <w:t>\peter.meier@\</w:t>
      </w:r>
      <w:r>
        <w:rPr>
          <w:rFonts w:ascii="Times New Roman" w:hAnsi="Times New Roman"/>
          <w:sz w:val="22"/>
          <w:u w:val="single"/>
        </w:rPr>
        <w:t>[daniel.sarti@]</w:t>
      </w:r>
      <w:r>
        <w:rPr>
          <w:rFonts w:ascii="Times New Roman" w:hAnsi="Times New Roman"/>
          <w:sz w:val="22"/>
        </w:rPr>
        <w:t xml:space="preserve">neg.pge.com </w:t>
      </w:r>
    </w:p>
    <w:p>
      <w:pPr>
        <w:pStyle w:val="OmniPage5"/>
        <w:bidi w:val="0"/>
        <w:ind w:firstLine="360" w:start="720" w:end="138"/>
        <w:jc w:val="both"/>
        <w:rPr>
          <w:rFonts w:ascii="Times New Roman" w:hAnsi="Times New Roman"/>
          <w:sz w:val="22"/>
        </w:rPr>
      </w:pPr>
      <w:r>
        <w:rPr>
          <w:rFonts w:ascii="Times New Roman" w:hAnsi="Times New Roman"/>
          <w:sz w:val="22"/>
        </w:rPr>
      </w:r>
    </w:p>
    <w:p>
      <w:pPr>
        <w:pStyle w:val="OmniPage5"/>
        <w:bidi w:val="0"/>
        <w:ind w:firstLine="720" w:start="720" w:end="138"/>
        <w:jc w:val="both"/>
        <w:rPr>
          <w:rFonts w:ascii="Times New Roman" w:hAnsi="Times New Roman"/>
          <w:sz w:val="22"/>
          <w:u w:val="single"/>
        </w:rPr>
      </w:pPr>
      <w:r>
        <w:rPr>
          <w:rFonts w:ascii="Times New Roman" w:hAnsi="Times New Roman"/>
          <w:sz w:val="22"/>
          <w:u w:val="single"/>
        </w:rPr>
        <w:t>[With a copy to:</w:t>
      </w:r>
    </w:p>
    <w:p>
      <w:pPr>
        <w:pStyle w:val="OmniPage5"/>
        <w:bidi w:val="0"/>
        <w:spacing w:before="120" w:after="0"/>
        <w:ind w:firstLine="720" w:start="720" w:end="144"/>
        <w:jc w:val="both"/>
        <w:rPr>
          <w:rFonts w:ascii="Times New Roman" w:hAnsi="Times New Roman"/>
          <w:sz w:val="22"/>
        </w:rPr>
      </w:pPr>
      <w:r>
        <w:rPr>
          <w:rFonts w:ascii="Times New Roman" w:hAnsi="Times New Roman"/>
          <w:sz w:val="22"/>
          <w:u w:val="single"/>
        </w:rPr>
        <w:t>Peter Meier]</w:t>
      </w:r>
      <w:r>
        <w:rPr>
          <w:rFonts w:ascii="Times New Roman" w:hAnsi="Times New Roman"/>
          <w:sz w:val="22"/>
        </w:rPr>
        <w:t xml:space="preserve"> </w:t>
      </w:r>
      <w:r>
        <w:rPr>
          <w:rFonts w:ascii="Times New Roman" w:hAnsi="Times New Roman"/>
          <w:strike/>
          <w:sz w:val="22"/>
        </w:rPr>
        <w:t>\Dan Sarti\</w:t>
      </w:r>
    </w:p>
    <w:p>
      <w:pPr>
        <w:pStyle w:val="OmniPage5"/>
        <w:bidi w:val="0"/>
        <w:ind w:firstLine="360" w:start="720" w:end="138"/>
        <w:jc w:val="both"/>
        <w:rPr>
          <w:rFonts w:ascii="Times New Roman" w:hAnsi="Times New Roman"/>
          <w:sz w:val="22"/>
        </w:rPr>
      </w:pPr>
      <w:r>
        <w:rPr>
          <w:rFonts w:ascii="Times New Roman" w:hAnsi="Times New Roman"/>
          <w:sz w:val="22"/>
        </w:rPr>
        <w:tab/>
        <w:t>PG&amp;E Energy Trading Holdings Corporation</w:t>
      </w:r>
    </w:p>
    <w:p>
      <w:pPr>
        <w:pStyle w:val="OmniPage5"/>
        <w:bidi w:val="0"/>
        <w:ind w:firstLine="360" w:start="720" w:end="138"/>
        <w:jc w:val="both"/>
        <w:rPr>
          <w:rFonts w:ascii="Times New Roman" w:hAnsi="Times New Roman"/>
          <w:sz w:val="22"/>
        </w:rPr>
      </w:pPr>
      <w:r>
        <w:rPr>
          <w:rFonts w:ascii="Times New Roman" w:hAnsi="Times New Roman"/>
          <w:sz w:val="22"/>
        </w:rPr>
        <w:tab/>
        <w:t>7500 Old Georgetown Road</w:t>
      </w:r>
    </w:p>
    <w:p>
      <w:pPr>
        <w:pStyle w:val="OmniPage5"/>
        <w:bidi w:val="0"/>
        <w:ind w:firstLine="360" w:start="720" w:end="138"/>
        <w:jc w:val="both"/>
        <w:rPr>
          <w:rFonts w:ascii="Times New Roman" w:hAnsi="Times New Roman"/>
          <w:sz w:val="22"/>
        </w:rPr>
      </w:pPr>
      <w:r>
        <w:rPr>
          <w:rFonts w:ascii="Times New Roman" w:hAnsi="Times New Roman"/>
          <w:sz w:val="22"/>
        </w:rPr>
        <w:tab/>
        <w:t>Bethesda, Maryland    20814</w:t>
      </w:r>
    </w:p>
    <w:p>
      <w:pPr>
        <w:pStyle w:val="OmniPage5"/>
        <w:bidi w:val="0"/>
        <w:ind w:firstLine="360" w:start="720" w:end="138"/>
        <w:jc w:val="both"/>
        <w:rPr>
          <w:rFonts w:ascii="Times New Roman" w:hAnsi="Times New Roman"/>
          <w:sz w:val="22"/>
        </w:rPr>
      </w:pPr>
      <w:r>
        <w:rPr>
          <w:rFonts w:ascii="Times New Roman" w:hAnsi="Times New Roman"/>
          <w:sz w:val="22"/>
        </w:rPr>
        <w:tab/>
        <w:t>Tel:    (301) 280-</w:t>
      </w:r>
      <w:r>
        <w:rPr>
          <w:rFonts w:ascii="Times New Roman" w:hAnsi="Times New Roman"/>
          <w:strike/>
          <w:sz w:val="22"/>
        </w:rPr>
        <w:t>\6078\</w:t>
      </w:r>
      <w:r>
        <w:rPr>
          <w:rFonts w:ascii="Times New Roman" w:hAnsi="Times New Roman"/>
          <w:sz w:val="22"/>
        </w:rPr>
        <w:t xml:space="preserve"> </w:t>
      </w:r>
      <w:r>
        <w:rPr>
          <w:rFonts w:ascii="Times New Roman" w:hAnsi="Times New Roman"/>
          <w:sz w:val="22"/>
          <w:u w:val="single"/>
        </w:rPr>
        <w:t>[6817]</w:t>
      </w:r>
    </w:p>
    <w:p>
      <w:pPr>
        <w:pStyle w:val="OmniPage5"/>
        <w:bidi w:val="0"/>
        <w:ind w:firstLine="360" w:start="720" w:end="138"/>
        <w:jc w:val="both"/>
        <w:rPr>
          <w:rFonts w:ascii="Times New Roman" w:hAnsi="Times New Roman"/>
          <w:sz w:val="22"/>
        </w:rPr>
      </w:pPr>
      <w:r>
        <w:rPr>
          <w:rFonts w:ascii="Times New Roman" w:hAnsi="Times New Roman"/>
          <w:sz w:val="22"/>
        </w:rPr>
        <w:tab/>
        <w:t>Fax:    (301) 280-</w:t>
      </w:r>
      <w:r>
        <w:rPr>
          <w:rFonts w:ascii="Times New Roman" w:hAnsi="Times New Roman"/>
          <w:strike/>
          <w:sz w:val="22"/>
        </w:rPr>
        <w:t>\5700\</w:t>
      </w:r>
      <w:r>
        <w:rPr>
          <w:rFonts w:ascii="Times New Roman" w:hAnsi="Times New Roman"/>
          <w:sz w:val="22"/>
        </w:rPr>
        <w:t xml:space="preserve"> </w:t>
      </w:r>
      <w:r>
        <w:rPr>
          <w:rFonts w:ascii="Times New Roman" w:hAnsi="Times New Roman"/>
          <w:sz w:val="22"/>
          <w:u w:val="single"/>
        </w:rPr>
        <w:t>[6913]</w:t>
      </w:r>
    </w:p>
    <w:p>
      <w:pPr>
        <w:pStyle w:val="OmniPage5"/>
        <w:bidi w:val="0"/>
        <w:ind w:firstLine="360" w:start="720" w:end="138"/>
        <w:jc w:val="both"/>
        <w:rPr>
          <w:rFonts w:ascii="Times New Roman" w:hAnsi="Times New Roman"/>
          <w:sz w:val="22"/>
        </w:rPr>
      </w:pPr>
      <w:r>
        <w:rPr>
          <w:rFonts w:ascii="Times New Roman" w:hAnsi="Times New Roman"/>
          <w:sz w:val="22"/>
        </w:rPr>
        <w:tab/>
        <w:t xml:space="preserve">Email: </w:t>
      </w:r>
      <w:r>
        <w:rPr>
          <w:rFonts w:ascii="Times New Roman" w:hAnsi="Times New Roman"/>
          <w:strike/>
          <w:sz w:val="22"/>
        </w:rPr>
        <w:t>\Daniel.sarti\</w:t>
      </w:r>
      <w:r>
        <w:rPr>
          <w:rFonts w:ascii="Times New Roman" w:hAnsi="Times New Roman"/>
          <w:sz w:val="22"/>
        </w:rPr>
        <w:t xml:space="preserve"> </w:t>
      </w:r>
      <w:r>
        <w:rPr>
          <w:rFonts w:ascii="Times New Roman" w:hAnsi="Times New Roman"/>
          <w:sz w:val="22"/>
          <w:u w:val="single"/>
        </w:rPr>
        <w:t>[peter.meier]</w:t>
      </w:r>
      <w:r>
        <w:rPr>
          <w:rFonts w:ascii="Times New Roman" w:hAnsi="Times New Roman"/>
          <w:sz w:val="22"/>
        </w:rPr>
        <w:t>@neg.pge.com</w:t>
      </w:r>
    </w:p>
    <w:p>
      <w:pPr>
        <w:pStyle w:val="OmniPage5"/>
        <w:bidi w:val="0"/>
        <w:ind w:firstLine="360" w:start="720" w:end="138"/>
        <w:jc w:val="both"/>
        <w:rPr>
          <w:rFonts w:ascii="Times New Roman" w:hAnsi="Times New Roman"/>
          <w:sz w:val="22"/>
        </w:rPr>
      </w:pPr>
      <w:r>
        <w:rPr>
          <w:rFonts w:ascii="Times New Roman" w:hAnsi="Times New Roman"/>
          <w:sz w:val="22"/>
        </w:rPr>
        <w:t xml:space="preserve"> </w:t>
      </w:r>
    </w:p>
    <w:p>
      <w:pPr>
        <w:pStyle w:val="OmniPage5"/>
        <w:bidi w:val="0"/>
        <w:ind w:firstLine="360" w:start="720" w:end="138"/>
        <w:jc w:val="both"/>
        <w:rPr>
          <w:rFonts w:ascii="Times New Roman" w:hAnsi="Times New Roman"/>
          <w:sz w:val="22"/>
        </w:rPr>
      </w:pPr>
      <w:r>
        <w:rPr>
          <w:rFonts w:ascii="Times New Roman" w:hAnsi="Times New Roman"/>
          <w:sz w:val="22"/>
        </w:rPr>
        <w:tab/>
      </w:r>
    </w:p>
    <w:p>
      <w:pPr>
        <w:pStyle w:val="OmniPage5"/>
        <w:bidi w:val="0"/>
        <w:spacing w:before="240" w:after="0"/>
        <w:ind w:end="144"/>
        <w:jc w:val="both"/>
        <w:rPr>
          <w:rFonts w:ascii="Times New Roman" w:hAnsi="Times New Roman"/>
          <w:sz w:val="22"/>
        </w:rPr>
      </w:pPr>
      <w:r>
        <w:rPr>
          <w:rFonts w:ascii="Times New Roman" w:hAnsi="Times New Roman"/>
          <w:sz w:val="22"/>
        </w:rPr>
        <w:t>Any notice, statement, demand, or other communication hereunder will be deemed delivered on the day and at the time on which it is received."</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b/>
          <w:sz w:val="22"/>
        </w:rPr>
        <w:t>4.</w:t>
      </w:r>
      <w:r>
        <w:rPr>
          <w:rFonts w:ascii="Times New Roman" w:hAnsi="Times New Roman"/>
          <w:sz w:val="22"/>
        </w:rPr>
        <w:t>      Section 19 of the Master Netting Agreement is hereby amended in its entirety as follows:</w:t>
      </w:r>
    </w:p>
    <w:p>
      <w:pPr>
        <w:pStyle w:val="Normal"/>
        <w:bidi w:val="0"/>
        <w:ind w:hanging="0" w:start="720"/>
        <w:jc w:val="both"/>
        <w:rPr>
          <w:rFonts w:ascii="Times New Roman" w:hAnsi="Times New Roman"/>
          <w:sz w:val="22"/>
        </w:rPr>
      </w:pPr>
      <w:r>
        <w:rPr>
          <w:rFonts w:ascii="Times New Roman" w:hAnsi="Times New Roman"/>
          <w:b/>
          <w:sz w:val="22"/>
        </w:rPr>
        <w:t xml:space="preserve">                      </w:t>
      </w:r>
    </w:p>
    <w:p>
      <w:pPr>
        <w:pStyle w:val="Normal"/>
        <w:bidi w:val="0"/>
        <w:ind w:firstLine="58" w:start="720"/>
        <w:jc w:val="both"/>
        <w:rPr>
          <w:rFonts w:ascii="Times New Roman" w:hAnsi="Times New Roman"/>
          <w:sz w:val="22"/>
        </w:rPr>
      </w:pPr>
      <w:r>
        <w:rPr>
          <w:rFonts w:ascii="Times New Roman" w:hAnsi="Times New Roman"/>
          <w:b/>
          <w:sz w:val="22"/>
        </w:rPr>
        <w:t xml:space="preserve">          </w:t>
      </w:r>
      <w:r>
        <w:rPr>
          <w:rFonts w:ascii="Times New Roman" w:hAnsi="Times New Roman"/>
          <w:sz w:val="22"/>
        </w:rPr>
        <w:t xml:space="preserve">"19.    </w:t>
      </w:r>
      <w:r>
        <w:rPr>
          <w:rFonts w:ascii="Times New Roman" w:hAnsi="Times New Roman"/>
          <w:b/>
          <w:sz w:val="22"/>
        </w:rPr>
        <w:t xml:space="preserve">Term. </w:t>
      </w:r>
      <w:r>
        <w:rPr>
          <w:rFonts w:ascii="Times New Roman" w:hAnsi="Times New Roman"/>
          <w:sz w:val="22"/>
        </w:rPr>
        <w:t xml:space="preserve">This Agreement shall continue from the date hereof for a period to and including the later of (a) December 31, 2001, and (b) the earlier of March 31, 2003, and the date no Spread Value of any Pipeline Capacity (each term as defined in that certain Gas Transactions Support Agreement dated as of April </w:t>
      </w:r>
      <w:r>
        <w:rPr>
          <w:rFonts w:ascii="Times New Roman" w:hAnsi="Times New Roman"/>
          <w:strike/>
          <w:sz w:val="22"/>
        </w:rPr>
        <w:t>\13\</w:t>
      </w:r>
      <w:r>
        <w:rPr>
          <w:rFonts w:ascii="Times New Roman" w:hAnsi="Times New Roman"/>
          <w:sz w:val="22"/>
        </w:rPr>
        <w:t xml:space="preserve"> </w:t>
      </w:r>
      <w:r>
        <w:rPr>
          <w:rFonts w:ascii="Times New Roman" w:hAnsi="Times New Roman"/>
          <w:sz w:val="22"/>
          <w:u w:val="single"/>
        </w:rPr>
        <w:t>[16]</w:t>
      </w:r>
      <w:r>
        <w:rPr>
          <w:rFonts w:ascii="Times New Roman" w:hAnsi="Times New Roman"/>
          <w:sz w:val="22"/>
        </w:rPr>
        <w:t xml:space="preserve">, 2001, by and between PG&amp;E Energy Trading-Gas Corporation and Enron North America Corp.) is credited against the obligation of the PG&amp;E Parties to provide collateral under this Agreement."    </w:t>
      </w:r>
    </w:p>
    <w:p>
      <w:pPr>
        <w:pStyle w:val="Normal"/>
        <w:bidi w:val="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5.    Representations and Warranties.    </w:t>
      </w:r>
      <w:r>
        <w:rPr>
          <w:rFonts w:ascii="Times New Roman" w:hAnsi="Times New Roman"/>
          <w:sz w:val="22"/>
        </w:rPr>
        <w:t>Each Party represents and warrants to the other that (a) it is duly authorized to execute and deliver this Amendment and to perform its obligations hereunder and has taken all necessary actions to authorize such execution, delivery, and performance, (b) the person signing this Amendment on its behalf is duly authorized to do so on its behalf, and (c) this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agrees that the Master Netting Agreement, as amended by this Amendment, is in full force and effect.</w:t>
      </w:r>
    </w:p>
    <w:p>
      <w:pPr>
        <w:pStyle w:val="OmniPage6"/>
        <w:bidi w:val="0"/>
        <w:spacing w:before="240" w:after="0"/>
        <w:jc w:val="both"/>
        <w:rPr>
          <w:rFonts w:ascii="Times New Roman" w:hAnsi="Times New Roman"/>
          <w:sz w:val="22"/>
        </w:rPr>
      </w:pPr>
      <w:r>
        <w:rPr>
          <w:rFonts w:ascii="Times New Roman" w:hAnsi="Times New Roman"/>
          <w:sz w:val="22"/>
        </w:rPr>
        <w:tab/>
        <w:t>6</w:t>
      </w:r>
      <w:r>
        <w:rPr>
          <w:rFonts w:ascii="Times New Roman" w:hAnsi="Times New Roman"/>
          <w:b/>
          <w:sz w:val="22"/>
        </w:rPr>
        <w:t xml:space="preserve">.    Governing Law.    </w:t>
      </w:r>
      <w:r>
        <w:rPr>
          <w:rFonts w:ascii="Times New Roman" w:hAnsi="Times New Roman"/>
          <w:sz w:val="22"/>
        </w:rPr>
        <w:t>This Amendment shall be governed by, and construed in accordance with, the laws of the State of New York without reference to its choice of law doctrine.</w:t>
      </w:r>
      <w:r>
        <w:br w:type="page"/>
      </w:r>
    </w:p>
    <w:p>
      <w:pPr>
        <w:pStyle w:val="OmniPage6"/>
        <w:bidi w:val="0"/>
        <w:spacing w:before="240" w:after="0"/>
        <w:ind w:firstLine="720"/>
        <w:jc w:val="both"/>
        <w:rPr>
          <w:rFonts w:ascii="Times New Roman" w:hAnsi="Times New Roman"/>
          <w:sz w:val="22"/>
        </w:rPr>
      </w:pPr>
      <w:r>
        <w:rPr>
          <w:rFonts w:ascii="Times New Roman" w:hAnsi="Times New Roman"/>
          <w:sz w:val="22"/>
        </w:rPr>
        <w:t>IN WITNESS WHEREOF, the Parties hereto have caused this Amendment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"ENRON PARTIES"</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CANADA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POWER MARKETING, INC.</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ENERGY SERVICES, INC.</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COAL SERVICES LIMITED</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t>ENRON ENERGY MARKETING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b/>
          <w:sz w:val="22"/>
        </w:rPr>
      </w:pPr>
      <w:r>
        <w:rPr>
          <w:rFonts w:ascii="Times New Roman" w:hAnsi="Times New Roman"/>
          <w:b/>
          <w:sz w:val="22"/>
        </w:rPr>
        <w:br/>
        <w:t>HOUSTON PIPE LINE COMPANY</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br/>
      </w:r>
      <w:r>
        <w:br w:type="page"/>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"PG&amp;E PARTIES"</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PG&amp;E ENERGY TRADING-GAS CORPORATION</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PG&amp;E ENERGY TRADING, CANADA CORPORATION</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Normal"/>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PG&amp;E ENERGY TRADING-POWER, L.P.</w:t>
      </w:r>
    </w:p>
    <w:p>
      <w:pPr>
        <w:pStyle w:val="Normal"/>
        <w:bidi w:val="0"/>
        <w:jc w:val="both"/>
        <w:rPr>
          <w:rFonts w:ascii="Times New Roman" w:hAnsi="Times New Roman"/>
          <w:sz w:val="22"/>
        </w:rPr>
      </w:pPr>
      <w:r>
        <w:rPr>
          <w:rFonts w:ascii="Times New Roman" w:hAnsi="Times New Roman"/>
          <w:sz w:val="22"/>
        </w:rPr>
        <w:t>BY:</w:t>
        <w:tab/>
        <w:t xml:space="preserve">PG&amp;E ENERGY TRADING-POWER </w:t>
      </w:r>
    </w:p>
    <w:p>
      <w:pPr>
        <w:pStyle w:val="Normal"/>
        <w:bidi w:val="0"/>
        <w:ind w:firstLine="720"/>
        <w:jc w:val="both"/>
        <w:rPr>
          <w:rFonts w:ascii="Times New Roman" w:hAnsi="Times New Roman"/>
          <w:sz w:val="22"/>
        </w:rPr>
      </w:pPr>
      <w:r>
        <w:rPr>
          <w:rFonts w:ascii="Times New Roman" w:hAnsi="Times New Roman"/>
          <w:sz w:val="22"/>
        </w:rPr>
        <w:t xml:space="preserve">HOLDINGS CORPORATION, </w:t>
      </w:r>
    </w:p>
    <w:p>
      <w:pPr>
        <w:pStyle w:val="Normal"/>
        <w:bidi w:val="0"/>
        <w:jc w:val="both"/>
        <w:rPr>
          <w:rFonts w:ascii="Times New Roman" w:hAnsi="Times New Roman"/>
          <w:sz w:val="22"/>
        </w:rPr>
      </w:pPr>
      <w:r>
        <w:rPr>
          <w:rFonts w:ascii="Times New Roman" w:hAnsi="Times New Roman"/>
          <w:sz w:val="22"/>
        </w:rPr>
        <w:tab/>
        <w:t>its sole general partner</w:t>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Normal"/>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caps/>
          <w:sz w:val="22"/>
        </w:rPr>
      </w:pPr>
      <w:r>
        <w:rPr>
          <w:rFonts w:ascii="Times New Roman" w:hAnsi="Times New Roman"/>
          <w:b/>
          <w:caps/>
          <w:sz w:val="22"/>
        </w:rPr>
        <w:t>CEG Energy Options Inc.</w:t>
      </w:r>
    </w:p>
    <w:p>
      <w:pPr>
        <w:pStyle w:val="Normal"/>
        <w:bidi w:val="0"/>
        <w:jc w:val="both"/>
        <w:rPr>
          <w:rFonts w:ascii="Times New Roman" w:hAnsi="Times New Roman"/>
          <w:b/>
          <w:caps/>
          <w:sz w:val="22"/>
        </w:rPr>
      </w:pPr>
      <w:r>
        <w:rPr>
          <w:rFonts w:ascii="Times New Roman" w:hAnsi="Times New Roman"/>
          <w:b/>
          <w:caps/>
          <w:sz w:val="22"/>
        </w:rPr>
      </w:r>
    </w:p>
    <w:p>
      <w:pPr>
        <w:pStyle w:val="OmniPage6"/>
        <w:bidi w:val="0"/>
        <w:jc w:val="both"/>
        <w:rPr>
          <w:rFonts w:ascii="Times New Roman" w:hAnsi="Times New Roman"/>
          <w:sz w:val="22"/>
        </w:rPr>
      </w:pPr>
      <w:r>
        <w:rPr>
          <w:rFonts w:ascii="Times New Roman" w:hAnsi="Times New Roman"/>
          <w:sz w:val="22"/>
        </w:rPr>
        <w:t>BY:    ________________________________________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Normal"/>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caps/>
          <w:sz w:val="22"/>
        </w:rPr>
      </w:pPr>
      <w:r>
        <w:rPr>
          <w:rFonts w:ascii="Times New Roman" w:hAnsi="Times New Roman"/>
          <w:b/>
          <w:caps/>
          <w:sz w:val="22"/>
        </w:rPr>
      </w:r>
    </w:p>
    <w:p>
      <w:pPr>
        <w:pStyle w:val="Normal"/>
        <w:bidi w:val="0"/>
        <w:jc w:val="both"/>
        <w:rPr>
          <w:rFonts w:ascii="Times New Roman" w:hAnsi="Times New Roman"/>
          <w:sz w:val="22"/>
        </w:rPr>
      </w:pPr>
      <w:r>
        <w:rPr>
          <w:rFonts w:ascii="Times New Roman" w:hAnsi="Times New Roman"/>
          <w:sz w:val="22"/>
        </w:rPr>
      </w:r>
    </w:p>
    <w:p>
      <w:pPr>
        <w:pStyle w:val="Heading1"/>
        <w:bidi w:val="0"/>
        <w:rPr>
          <w:rFonts w:ascii="Times New Roman" w:hAnsi="Times New Roman"/>
        </w:rPr>
      </w:pPr>
      <w:r>
        <w:rPr>
          <w:rFonts w:ascii="Times New Roman" w:hAnsi="Times New Roman"/>
        </w:rPr>
        <w:t>ACCEPTED AND AGREED TO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b/>
          <w:sz w:val="22"/>
        </w:rPr>
      </w:pPr>
      <w:r>
        <w:rPr>
          <w:rFonts w:ascii="Times New Roman" w:hAnsi="Times New Roman"/>
          <w:b/>
          <w:sz w:val="22"/>
        </w:rPr>
        <w:t>"PG&amp;E GUARANTORS"</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PG&amp;E NATIONAL ENERGY GROUP, INC.</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Normal"/>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PG&amp;E ENERGY TRADING HOLDINGS CORPORATION</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Normal"/>
        <w:bidi w:val="0"/>
        <w:jc w:val="both"/>
        <w:rPr>
          <w:rFonts w:ascii="Times New Roman" w:hAnsi="Times New Roman"/>
          <w:sz w:val="22"/>
        </w:rPr>
      </w:pPr>
      <w:r>
        <w:rPr>
          <w:rFonts w:ascii="Times New Roman" w:hAnsi="Times New Roman"/>
          <w:sz w:val="22"/>
        </w:rPr>
        <w:t>TITLE:    _____________________________________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777"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both"/>
    </w:pPr>
    <w:rPr>
      <w:b/>
      <w:sz w:val="22"/>
    </w:rPr>
  </w:style>
  <w:style w:type="paragraph" w:styleId="Heading2">
    <w:name w:val="heading 2"/>
    <w:basedOn w:val="Heading"/>
    <w:qFormat/>
    <w:pPr>
      <w:keepNext w:val="true"/>
      <w:spacing w:before="240" w:after="60"/>
    </w:pPr>
    <w:rPr>
      <w:rFonts w:ascii="Arial" w:hAnsi="Arial"/>
      <w:b/>
      <w:i/>
    </w:rPr>
  </w:style>
  <w:style w:type="paragraph" w:styleId="Heading3">
    <w:name w:val="heading 3"/>
    <w:basedOn w:val="Heading"/>
    <w:qFormat/>
    <w:pPr>
      <w:keepNext w:val="true"/>
      <w:spacing w:before="240" w:after="120"/>
      <w:jc w:val="center"/>
    </w:pPr>
    <w:rPr>
      <w:b/>
      <w:sz w:val="22"/>
    </w:rPr>
  </w:style>
  <w:style w:type="character" w:styleId="DefaultParagraphFont">
    <w:name w:val="Default Paragraph Font"/>
    <w:qFormat/>
    <w:rPr>
      <w:sz w:val="20"/>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ListBullet">
    <w:name w:val="List Bullet"/>
    <w:basedOn w:val="List"/>
    <w:pPr>
      <w:tabs>
        <w:tab w:val="clear" w:pos="720"/>
        <w:tab w:val="left" w:pos="360" w:leader="none"/>
      </w:tabs>
      <w:ind w:hanging="360" w:start="360"/>
    </w:pPr>
    <w:rPr/>
  </w:style>
  <w:style w:type="paragraph" w:styleId="ListBullet2">
    <w:name w:val="List Bullet 2"/>
    <w:basedOn w:val="List"/>
    <w:pPr>
      <w:tabs>
        <w:tab w:val="left" w:pos="720" w:leader="none"/>
      </w:tabs>
      <w:ind w:hanging="360" w:start="720"/>
    </w:pPr>
    <w:rPr/>
  </w:style>
  <w:style w:type="paragraph" w:styleId="ListBullet3">
    <w:name w:val="List Bullet 3"/>
    <w:basedOn w:val="List"/>
    <w:pPr>
      <w:tabs>
        <w:tab w:val="clear" w:pos="720"/>
        <w:tab w:val="left" w:pos="1080" w:leader="none"/>
      </w:tabs>
      <w:ind w:hanging="360" w:start="1080"/>
    </w:pPr>
    <w:rPr/>
  </w:style>
  <w:style w:type="paragraph" w:styleId="ListBullet4">
    <w:name w:val="List Bullet 4"/>
    <w:basedOn w:val="List"/>
    <w:pPr>
      <w:tabs>
        <w:tab w:val="clear" w:pos="720"/>
        <w:tab w:val="left" w:pos="1440" w:leader="none"/>
      </w:tabs>
      <w:ind w:hanging="360" w:start="1440"/>
    </w:pPr>
    <w:rPr/>
  </w:style>
  <w:style w:type="paragraph" w:styleId="ListBullet5">
    <w:name w:val="List Bullet 5"/>
    <w:basedOn w:val="List"/>
    <w:pPr>
      <w:tabs>
        <w:tab w:val="clear" w:pos="720"/>
        <w:tab w:val="left" w:pos="1800" w:leader="none"/>
      </w:tabs>
      <w:ind w:hanging="360" w:start="1800"/>
    </w:pPr>
    <w:rPr/>
  </w:style>
  <w:style w:type="paragraph" w:styleId="ListNumber">
    <w:name w:val="List Number"/>
    <w:basedOn w:val="List"/>
    <w:pPr>
      <w:tabs>
        <w:tab w:val="clear" w:pos="720"/>
        <w:tab w:val="left" w:pos="360" w:leader="none"/>
      </w:tabs>
      <w:ind w:hanging="360" w:start="360"/>
    </w:pPr>
    <w:rPr/>
  </w:style>
  <w:style w:type="paragraph" w:styleId="ListNumber2">
    <w:name w:val="List Number 2"/>
    <w:basedOn w:val="List"/>
    <w:pPr>
      <w:tabs>
        <w:tab w:val="left" w:pos="720" w:leader="none"/>
      </w:tabs>
      <w:ind w:hanging="360" w:start="720"/>
    </w:pPr>
    <w:rPr/>
  </w:style>
  <w:style w:type="paragraph" w:styleId="ListNumber3">
    <w:name w:val="List Number 3"/>
    <w:basedOn w:val="List"/>
    <w:pPr>
      <w:tabs>
        <w:tab w:val="clear" w:pos="720"/>
        <w:tab w:val="left" w:pos="1080" w:leader="none"/>
      </w:tabs>
      <w:ind w:hanging="360" w:start="1080"/>
    </w:pPr>
    <w:rPr/>
  </w:style>
  <w:style w:type="paragraph" w:styleId="ListNumber4">
    <w:name w:val="List Number 4"/>
    <w:basedOn w:val="List"/>
    <w:pPr>
      <w:tabs>
        <w:tab w:val="clear" w:pos="720"/>
        <w:tab w:val="left" w:pos="1440" w:leader="none"/>
      </w:tabs>
      <w:ind w:hanging="360" w:start="1440"/>
    </w:pPr>
    <w:rPr/>
  </w:style>
  <w:style w:type="paragraph" w:styleId="ListNumber5">
    <w:name w:val="List Number 5"/>
    <w:basedOn w:val="List"/>
    <w:pPr>
      <w:tabs>
        <w:tab w:val="clear" w:pos="720"/>
        <w:tab w:val="left" w:pos="1800" w:leader="none"/>
      </w:tabs>
      <w:ind w:hanging="360" w:start="18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1031</Words>
  <CharactersWithSpaces>5881</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2001-04-16T08:56:00Z</dcterms:created>
  <dc:creator>mcook</dc:creator>
  <dc:description/>
  <dc:language>en-CA</dc:language>
  <cp:lastModifiedBy/>
  <cp:lastPrinted>2001-04-16T09:01:00Z</cp:lastPrinted>
  <dcterms:modified xsi:type="dcterms:W3CDTF">2001-04-16T09:03:00Z</dcterms:modified>
  <cp:revision>8</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Lsimmo2</vt:lpwstr>
  </property>
</Properties>
</file>