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0"/>
          <w:szCs w:val="20"/>
        </w:rPr>
      </w:pPr>
      <w:r>
        <w:rPr>
          <w:b/>
          <w:bCs/>
          <w:sz w:val="20"/>
          <w:szCs w:val="20"/>
          <w:u w:val="single"/>
        </w:rPr>
        <w:t>THIRD AMENDMENT TO MASTER AGREEMENT</w:t>
      </w:r>
    </w:p>
    <w:p>
      <w:pPr>
        <w:pStyle w:val="Normal"/>
        <w:rPr>
          <w:b/>
          <w:bCs/>
          <w:sz w:val="20"/>
          <w:szCs w:val="20"/>
        </w:rPr>
      </w:pPr>
      <w:r>
        <w:rPr>
          <w:b/>
          <w:bCs/>
          <w:sz w:val="20"/>
          <w:szCs w:val="20"/>
        </w:rPr>
      </w:r>
    </w:p>
    <w:p>
      <w:pPr>
        <w:pStyle w:val="Normal"/>
        <w:rPr>
          <w:sz w:val="20"/>
          <w:szCs w:val="20"/>
        </w:rPr>
      </w:pPr>
      <w:r>
        <w:rPr>
          <w:sz w:val="20"/>
          <w:szCs w:val="20"/>
        </w:rPr>
      </w:r>
    </w:p>
    <w:p>
      <w:pPr>
        <w:pStyle w:val="Normal"/>
        <w:jc w:val="both"/>
        <w:rPr>
          <w:sz w:val="20"/>
          <w:szCs w:val="20"/>
        </w:rPr>
      </w:pPr>
      <w:r>
        <w:rPr>
          <w:sz w:val="20"/>
          <w:szCs w:val="20"/>
        </w:rPr>
        <w:tab/>
        <w:t>This Third Amendment to ISDA Master Agreement (Multicurrency-Cross Border) (the “Amendment”) is made and entered into by and between Bank of Montreal (“Party B”) and Enron North America Corp., formerly known as Enron Capital &amp; Trade Resources Corp. (“Party A”).</w:t>
      </w:r>
    </w:p>
    <w:p>
      <w:pPr>
        <w:pStyle w:val="Normal"/>
        <w:jc w:val="both"/>
        <w:rPr>
          <w:sz w:val="20"/>
          <w:szCs w:val="20"/>
        </w:rPr>
      </w:pPr>
      <w:r>
        <w:rPr>
          <w:sz w:val="20"/>
          <w:szCs w:val="20"/>
        </w:rPr>
      </w:r>
    </w:p>
    <w:p>
      <w:pPr>
        <w:pStyle w:val="Normal"/>
        <w:jc w:val="both"/>
        <w:rPr>
          <w:sz w:val="20"/>
          <w:szCs w:val="20"/>
        </w:rPr>
      </w:pPr>
      <w:r>
        <w:rPr>
          <w:sz w:val="20"/>
          <w:szCs w:val="20"/>
        </w:rPr>
        <w:tab/>
        <w:t>WHEREAS, Party A and Party B entered into that certain ISDA Master (Multicurrency-Cross Border) dated as of November 15, 1996 (the “Master Agreement”), as the same may from time to time have been modified, amended or supplemented;</w:t>
      </w:r>
    </w:p>
    <w:p>
      <w:pPr>
        <w:pStyle w:val="Normal"/>
        <w:jc w:val="both"/>
        <w:rPr>
          <w:sz w:val="20"/>
          <w:szCs w:val="20"/>
        </w:rPr>
      </w:pPr>
      <w:r>
        <w:rPr>
          <w:sz w:val="20"/>
          <w:szCs w:val="20"/>
        </w:rPr>
      </w:r>
    </w:p>
    <w:p>
      <w:pPr>
        <w:pStyle w:val="Normal"/>
        <w:jc w:val="both"/>
        <w:rPr>
          <w:sz w:val="20"/>
          <w:szCs w:val="20"/>
        </w:rPr>
      </w:pPr>
      <w:r>
        <w:rPr>
          <w:sz w:val="20"/>
          <w:szCs w:val="20"/>
        </w:rPr>
        <w:tab/>
        <w:t>WHEREAS, the parties hereto desire to amend the Master Agreement as provided herein;</w:t>
      </w:r>
    </w:p>
    <w:p>
      <w:pPr>
        <w:pStyle w:val="Normal"/>
        <w:jc w:val="both"/>
        <w:rPr>
          <w:sz w:val="20"/>
          <w:szCs w:val="20"/>
        </w:rPr>
      </w:pPr>
      <w:r>
        <w:rPr>
          <w:sz w:val="20"/>
          <w:szCs w:val="20"/>
        </w:rPr>
      </w:r>
    </w:p>
    <w:p>
      <w:pPr>
        <w:pStyle w:val="Normal"/>
        <w:jc w:val="both"/>
        <w:rPr>
          <w:sz w:val="20"/>
          <w:szCs w:val="20"/>
        </w:rPr>
      </w:pPr>
      <w:r>
        <w:rPr>
          <w:sz w:val="20"/>
          <w:szCs w:val="20"/>
        </w:rPr>
        <w:tab/>
        <w:t>NOW THEREFORE, for and in consideration of the agreements herein made and other good and valuable consideration, the parties hereto agree as follows:</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center"/>
        <w:rPr>
          <w:sz w:val="20"/>
          <w:szCs w:val="20"/>
        </w:rPr>
      </w:pPr>
      <w:r>
        <w:rPr>
          <w:b/>
          <w:bCs/>
          <w:sz w:val="20"/>
          <w:szCs w:val="20"/>
        </w:rPr>
        <w:t xml:space="preserve">I.  </w:t>
      </w:r>
      <w:r>
        <w:rPr>
          <w:b/>
          <w:bCs/>
          <w:sz w:val="20"/>
          <w:szCs w:val="20"/>
          <w:u w:val="single"/>
        </w:rPr>
        <w:t>AMENDMENTS</w:t>
      </w:r>
    </w:p>
    <w:p>
      <w:pPr>
        <w:pStyle w:val="Normal"/>
        <w:jc w:val="both"/>
        <w:rPr>
          <w:sz w:val="20"/>
          <w:szCs w:val="20"/>
        </w:rPr>
      </w:pPr>
      <w:r>
        <w:rPr>
          <w:sz w:val="20"/>
          <w:szCs w:val="20"/>
        </w:rPr>
      </w:r>
    </w:p>
    <w:p>
      <w:pPr>
        <w:pStyle w:val="Normal"/>
        <w:jc w:val="both"/>
        <w:rPr>
          <w:sz w:val="20"/>
          <w:szCs w:val="20"/>
        </w:rPr>
      </w:pPr>
      <w:r>
        <w:rPr>
          <w:sz w:val="20"/>
          <w:szCs w:val="20"/>
        </w:rPr>
        <w:tab/>
        <w:t>The Master Agreement is hereby amended as follows:</w:t>
      </w:r>
    </w:p>
    <w:p>
      <w:pPr>
        <w:pStyle w:val="Normal"/>
        <w:jc w:val="both"/>
        <w:rPr>
          <w:sz w:val="20"/>
          <w:szCs w:val="20"/>
        </w:rPr>
      </w:pPr>
      <w:r>
        <w:rPr>
          <w:sz w:val="20"/>
          <w:szCs w:val="20"/>
        </w:rPr>
      </w:r>
    </w:p>
    <w:p>
      <w:pPr>
        <w:pStyle w:val="BodyText2"/>
        <w:rPr>
          <w:sz w:val="20"/>
          <w:szCs w:val="20"/>
        </w:rPr>
      </w:pPr>
      <w:r>
        <w:rPr>
          <w:sz w:val="20"/>
          <w:szCs w:val="20"/>
        </w:rPr>
        <w:t>1.</w:t>
        <w:tab/>
        <w:t>Paragraph 13(b)(ii) to the ISDA Credit Support Annex to the Master Agreement dated as of February 4, 1998 is hereby amended to add “Cash” as Eligible Collateral for both Party A and Party B.</w:t>
      </w:r>
    </w:p>
    <w:p>
      <w:pPr>
        <w:pStyle w:val="Normal"/>
        <w:jc w:val="both"/>
        <w:rPr>
          <w:sz w:val="20"/>
          <w:szCs w:val="20"/>
        </w:rPr>
      </w:pPr>
      <w:r>
        <w:rPr>
          <w:sz w:val="20"/>
          <w:szCs w:val="20"/>
        </w:rPr>
      </w:r>
    </w:p>
    <w:p>
      <w:pPr>
        <w:pStyle w:val="Normal"/>
        <w:jc w:val="both"/>
        <w:rPr>
          <w:sz w:val="20"/>
          <w:szCs w:val="20"/>
        </w:rPr>
      </w:pPr>
      <w:r>
        <w:rPr>
          <w:sz w:val="20"/>
          <w:szCs w:val="20"/>
        </w:rPr>
        <w:t>2.</w:t>
        <w:tab/>
        <w:t>Except as amended hereby, all other terms and conditions of the Master Agreement shall remain the same and in full force and effect.</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keepNext w:val="true"/>
        <w:jc w:val="center"/>
        <w:rPr>
          <w:sz w:val="20"/>
          <w:szCs w:val="20"/>
        </w:rPr>
      </w:pPr>
      <w:r>
        <w:rPr>
          <w:b/>
          <w:bCs/>
          <w:sz w:val="20"/>
          <w:szCs w:val="20"/>
        </w:rPr>
        <w:t xml:space="preserve">II.  </w:t>
      </w:r>
      <w:r>
        <w:rPr>
          <w:b/>
          <w:bCs/>
          <w:sz w:val="20"/>
          <w:szCs w:val="20"/>
          <w:u w:val="single"/>
        </w:rPr>
        <w:t>MISCELLANEOUS</w:t>
      </w:r>
    </w:p>
    <w:p>
      <w:pPr>
        <w:pStyle w:val="Normal"/>
        <w:keepNext w:val="true"/>
        <w:jc w:val="both"/>
        <w:rPr>
          <w:sz w:val="20"/>
          <w:szCs w:val="20"/>
        </w:rPr>
      </w:pPr>
      <w:r>
        <w:rPr>
          <w:sz w:val="20"/>
          <w:szCs w:val="20"/>
        </w:rPr>
      </w:r>
    </w:p>
    <w:p>
      <w:pPr>
        <w:pStyle w:val="Normal"/>
        <w:keepNext w:val="true"/>
        <w:jc w:val="both"/>
        <w:rPr>
          <w:sz w:val="20"/>
          <w:szCs w:val="20"/>
        </w:rPr>
      </w:pPr>
      <w:r>
        <w:rPr>
          <w:sz w:val="20"/>
          <w:szCs w:val="20"/>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0"/>
          <w:szCs w:val="20"/>
        </w:rPr>
      </w:pPr>
      <w:r>
        <w:rPr>
          <w:sz w:val="20"/>
          <w:szCs w:val="20"/>
        </w:rPr>
      </w:r>
    </w:p>
    <w:p>
      <w:pPr>
        <w:pStyle w:val="Normal"/>
        <w:jc w:val="both"/>
        <w:rPr>
          <w:sz w:val="20"/>
          <w:szCs w:val="20"/>
        </w:rPr>
      </w:pPr>
      <w:r>
        <w:rPr>
          <w:sz w:val="20"/>
          <w:szCs w:val="20"/>
        </w:rPr>
        <w:tab/>
        <w:t>Any and all references to the Master Agreement shall hereafter refer to the Master Agreement as amended by this Amendment.  The provisions of this Amendment shall apply to any and all outstanding Transactions under the Master Agreement.</w:t>
      </w:r>
    </w:p>
    <w:p>
      <w:pPr>
        <w:pStyle w:val="Normal"/>
        <w:jc w:val="both"/>
        <w:rPr>
          <w:sz w:val="20"/>
          <w:szCs w:val="20"/>
        </w:rPr>
      </w:pPr>
      <w:r>
        <w:rPr>
          <w:sz w:val="20"/>
          <w:szCs w:val="20"/>
        </w:rPr>
      </w:r>
    </w:p>
    <w:p>
      <w:pPr>
        <w:pStyle w:val="Normal"/>
        <w:jc w:val="both"/>
        <w:rPr>
          <w:sz w:val="20"/>
          <w:szCs w:val="20"/>
        </w:rPr>
      </w:pPr>
      <w:r>
        <w:rPr>
          <w:sz w:val="20"/>
          <w:szCs w:val="20"/>
        </w:rPr>
        <w:tab/>
        <w:t>IN WITNESS WHEREOF, the parties hereto have caused this Amendment to be executed in multiple originals on ______________, 2000.</w:t>
      </w:r>
    </w:p>
    <w:p>
      <w:pPr>
        <w:pStyle w:val="Normal"/>
        <w:jc w:val="both"/>
        <w:rPr>
          <w:sz w:val="20"/>
          <w:szCs w:val="20"/>
        </w:rPr>
      </w:pPr>
      <w:r>
        <w:rPr>
          <w:sz w:val="20"/>
          <w:szCs w:val="20"/>
        </w:rPr>
      </w:r>
    </w:p>
    <w:p>
      <w:pPr>
        <w:pStyle w:val="Normal"/>
        <w:jc w:val="both"/>
        <w:rPr>
          <w:sz w:val="20"/>
          <w:szCs w:val="20"/>
        </w:rPr>
      </w:pPr>
      <w:r>
        <w:rPr>
          <w:sz w:val="20"/>
          <w:szCs w:val="20"/>
        </w:rPr>
      </w:r>
    </w:p>
    <w:tbl>
      <w:tblPr>
        <w:tblW w:w="14814" w:type="dxa"/>
        <w:jc w:val="start"/>
        <w:tblInd w:w="0" w:type="dxa"/>
        <w:tblLayout w:type="fixed"/>
        <w:tblCellMar>
          <w:top w:w="0" w:type="dxa"/>
          <w:start w:w="108" w:type="dxa"/>
          <w:bottom w:w="0" w:type="dxa"/>
          <w:end w:w="108" w:type="dxa"/>
        </w:tblCellMar>
      </w:tblPr>
      <w:tblGrid>
        <w:gridCol w:w="4338"/>
        <w:gridCol w:w="900"/>
        <w:gridCol w:w="9576"/>
      </w:tblGrid>
      <w:tr>
        <w:trPr/>
        <w:tc>
          <w:tcPr>
            <w:tcW w:w="4338" w:type="dxa"/>
            <w:tcBorders>
              <w:top w:val="dashed" w:sz="6" w:space="0" w:color="auto"/>
              <w:start w:val="dashed" w:sz="6" w:space="0" w:color="auto"/>
              <w:bottom w:val="dashed" w:sz="6" w:space="0" w:color="auto"/>
              <w:end w:val="dashed" w:sz="6" w:space="0" w:color="auto"/>
            </w:tcBorders>
          </w:tcPr>
          <w:p>
            <w:pPr>
              <w:pStyle w:val="Normal"/>
              <w:spacing w:lineRule="exact" w:line="240"/>
              <w:jc w:val="both"/>
              <w:rPr>
                <w:b/>
                <w:bCs/>
                <w:sz w:val="20"/>
                <w:szCs w:val="20"/>
              </w:rPr>
            </w:pPr>
            <w:r>
              <w:rPr>
                <w:b/>
                <w:bCs/>
                <w:sz w:val="20"/>
                <w:szCs w:val="20"/>
              </w:rPr>
              <w:t>ENRON NORTH AMERICA CORP.</w:t>
            </w:r>
          </w:p>
          <w:p>
            <w:pPr>
              <w:pStyle w:val="Normal"/>
              <w:spacing w:lineRule="exact" w:line="240"/>
              <w:jc w:val="both"/>
              <w:rPr>
                <w:b/>
                <w:bCs/>
                <w:sz w:val="20"/>
                <w:szCs w:val="20"/>
              </w:rPr>
            </w:pPr>
            <w:r>
              <w:rPr>
                <w:b/>
                <w:bCs/>
                <w:sz w:val="20"/>
                <w:szCs w:val="20"/>
              </w:rPr>
            </w:r>
          </w:p>
          <w:p>
            <w:pPr>
              <w:pStyle w:val="Normal"/>
              <w:spacing w:lineRule="exact" w:line="240"/>
              <w:jc w:val="both"/>
              <w:rPr>
                <w:sz w:val="20"/>
                <w:szCs w:val="20"/>
              </w:rPr>
            </w:pPr>
            <w:r>
              <w:rPr>
                <w:sz w:val="20"/>
                <w:szCs w:val="20"/>
              </w:rPr>
            </w:r>
          </w:p>
          <w:p>
            <w:pPr>
              <w:pStyle w:val="Normal"/>
              <w:spacing w:lineRule="exact" w:line="240"/>
              <w:jc w:val="both"/>
              <w:rPr/>
            </w:pPr>
            <w:r>
              <w:rPr>
                <w:sz w:val="20"/>
                <w:szCs w:val="20"/>
              </w:rPr>
              <w:t>By:</w:t>
              <w:tab/>
            </w:r>
            <w:r>
              <w:rPr>
                <w:sz w:val="20"/>
                <w:szCs w:val="20"/>
                <w:u w:val="single"/>
              </w:rPr>
              <w:tab/>
              <w:tab/>
              <w:tab/>
              <w:tab/>
            </w:r>
          </w:p>
          <w:p>
            <w:pPr>
              <w:pStyle w:val="Normal"/>
              <w:spacing w:lineRule="exact" w:line="240"/>
              <w:jc w:val="both"/>
              <w:rPr>
                <w:sz w:val="20"/>
                <w:szCs w:val="20"/>
              </w:rPr>
            </w:pPr>
            <w:r>
              <w:rPr>
                <w:sz w:val="20"/>
                <w:szCs w:val="20"/>
              </w:rPr>
              <w:t>Name:</w:t>
              <w:tab/>
            </w:r>
            <w:r>
              <w:rPr>
                <w:sz w:val="20"/>
                <w:szCs w:val="20"/>
                <w:u w:val="single"/>
              </w:rPr>
              <w:tab/>
              <w:tab/>
              <w:tab/>
              <w:tab/>
            </w:r>
          </w:p>
          <w:p>
            <w:pPr>
              <w:pStyle w:val="Normal"/>
              <w:spacing w:lineRule="exact" w:line="240"/>
              <w:jc w:val="both"/>
              <w:rPr>
                <w:sz w:val="20"/>
                <w:szCs w:val="20"/>
              </w:rPr>
            </w:pPr>
            <w:r>
              <w:rPr>
                <w:sz w:val="20"/>
                <w:szCs w:val="20"/>
              </w:rPr>
              <w:t>Title:</w:t>
              <w:tab/>
            </w:r>
            <w:r>
              <w:rPr>
                <w:sz w:val="20"/>
                <w:szCs w:val="20"/>
                <w:u w:val="single"/>
              </w:rPr>
              <w:tab/>
              <w:tab/>
              <w:tab/>
              <w:tab/>
            </w:r>
          </w:p>
        </w:tc>
        <w:tc>
          <w:tcPr>
            <w:tcW w:w="900" w:type="dxa"/>
            <w:tcBorders>
              <w:top w:val="dashed" w:sz="6" w:space="0" w:color="auto"/>
              <w:start w:val="dashed" w:sz="6" w:space="0" w:color="auto"/>
              <w:bottom w:val="dashed" w:sz="6" w:space="0" w:color="auto"/>
              <w:end w:val="dashed" w:sz="6" w:space="0" w:color="auto"/>
            </w:tcBorders>
          </w:tcPr>
          <w:p>
            <w:pPr>
              <w:pStyle w:val="Normal"/>
              <w:snapToGrid w:val="false"/>
              <w:spacing w:lineRule="exact" w:line="240"/>
              <w:jc w:val="both"/>
              <w:rPr>
                <w:sz w:val="20"/>
                <w:szCs w:val="20"/>
              </w:rPr>
            </w:pPr>
            <w:r>
              <w:rPr>
                <w:sz w:val="20"/>
                <w:szCs w:val="20"/>
              </w:rPr>
            </w:r>
          </w:p>
        </w:tc>
        <w:tc>
          <w:tcPr>
            <w:tcW w:w="9576" w:type="dxa"/>
            <w:tcBorders>
              <w:top w:val="dashed" w:sz="6" w:space="0" w:color="auto"/>
              <w:start w:val="dashed" w:sz="6" w:space="0" w:color="auto"/>
              <w:bottom w:val="dashed" w:sz="6" w:space="0" w:color="auto"/>
              <w:end w:val="dashed" w:sz="6" w:space="0" w:color="auto"/>
            </w:tcBorders>
          </w:tcPr>
          <w:p>
            <w:pPr>
              <w:pStyle w:val="Heading1"/>
              <w:ind w:hanging="0" w:start="0"/>
              <w:rPr/>
            </w:pPr>
            <w:r>
              <w:rPr/>
              <w:t>BANK OF MONTREAL</w:t>
            </w:r>
          </w:p>
          <w:p>
            <w:pPr>
              <w:pStyle w:val="Normal"/>
              <w:spacing w:lineRule="exact" w:line="240"/>
              <w:jc w:val="both"/>
              <w:rPr>
                <w:sz w:val="20"/>
                <w:szCs w:val="20"/>
              </w:rPr>
            </w:pPr>
            <w:r>
              <w:rPr>
                <w:sz w:val="20"/>
                <w:szCs w:val="20"/>
              </w:rPr>
            </w:r>
          </w:p>
          <w:p>
            <w:pPr>
              <w:pStyle w:val="Normal"/>
              <w:spacing w:lineRule="exact" w:line="240"/>
              <w:jc w:val="both"/>
              <w:rPr>
                <w:sz w:val="20"/>
                <w:szCs w:val="20"/>
              </w:rPr>
            </w:pPr>
            <w:r>
              <w:rPr>
                <w:sz w:val="20"/>
                <w:szCs w:val="20"/>
              </w:rPr>
            </w:r>
          </w:p>
          <w:p>
            <w:pPr>
              <w:pStyle w:val="Normal"/>
              <w:spacing w:lineRule="exact" w:line="240"/>
              <w:jc w:val="both"/>
              <w:rPr/>
            </w:pPr>
            <w:r>
              <w:rPr>
                <w:sz w:val="20"/>
                <w:szCs w:val="20"/>
              </w:rPr>
              <w:t>By:</w:t>
              <w:tab/>
            </w:r>
            <w:r>
              <w:rPr>
                <w:sz w:val="20"/>
                <w:szCs w:val="20"/>
                <w:u w:val="single"/>
              </w:rPr>
              <w:tab/>
              <w:tab/>
              <w:tab/>
              <w:tab/>
            </w:r>
          </w:p>
          <w:p>
            <w:pPr>
              <w:pStyle w:val="Normal"/>
              <w:spacing w:lineRule="exact" w:line="240"/>
              <w:jc w:val="both"/>
              <w:rPr>
                <w:sz w:val="20"/>
                <w:szCs w:val="20"/>
              </w:rPr>
            </w:pPr>
            <w:r>
              <w:rPr>
                <w:sz w:val="20"/>
                <w:szCs w:val="20"/>
              </w:rPr>
              <w:t>Name:</w:t>
              <w:tab/>
            </w:r>
            <w:r>
              <w:rPr>
                <w:sz w:val="20"/>
                <w:szCs w:val="20"/>
                <w:u w:val="single"/>
              </w:rPr>
              <w:tab/>
              <w:tab/>
              <w:tab/>
              <w:tab/>
            </w:r>
          </w:p>
          <w:p>
            <w:pPr>
              <w:pStyle w:val="Normal"/>
              <w:spacing w:lineRule="exact" w:line="240"/>
              <w:jc w:val="both"/>
              <w:rPr>
                <w:sz w:val="20"/>
                <w:szCs w:val="20"/>
              </w:rPr>
            </w:pPr>
            <w:r>
              <w:rPr>
                <w:sz w:val="20"/>
                <w:szCs w:val="20"/>
              </w:rPr>
              <w:t>Title:</w:t>
              <w:tab/>
            </w:r>
            <w:r>
              <w:rPr>
                <w:sz w:val="20"/>
                <w:szCs w:val="20"/>
                <w:u w:val="single"/>
              </w:rPr>
              <w:tab/>
              <w:tab/>
              <w:tab/>
              <w:tab/>
            </w:r>
          </w:p>
        </w:tc>
      </w:tr>
    </w:tbl>
    <w:p>
      <w:pPr>
        <w:pStyle w:val="Normal"/>
        <w:jc w:val="both"/>
        <w:rPr>
          <w:sz w:val="20"/>
          <w:szCs w:val="20"/>
        </w:rPr>
      </w:pPr>
      <w:r>
        <w:rPr>
          <w:sz w:val="20"/>
          <w:szCs w:val="20"/>
        </w:rPr>
      </w:r>
    </w:p>
    <w:sectPr>
      <w:footerReference w:type="default" r:id="rId2"/>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/mnt/main-storage/datasets/enron-docs/doc/AMD047__bmo_.doc</w:t>
    </w:r>
    <w:r>
      <w:rPr>
        <w:sz w:val="16"/>
        <w:szCs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lineRule="exact" w:line="240"/>
      <w:jc w:val="both"/>
      <w:outlineLvl w:val="0"/>
    </w:pPr>
    <w:rPr>
      <w:b/>
      <w:bCs/>
      <w:sz w:val="20"/>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s>
      <w:ind w:hanging="720" w:start="720" w:end="0"/>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2000-09-26T13:26:00Z</dcterms:created>
  <dc:creator>ECT</dc:creator>
  <dc:description/>
  <dc:language>en-CA</dc:language>
  <cp:lastModifiedBy>tjones</cp:lastModifiedBy>
  <cp:lastPrinted>2000-09-25T11:51:00Z</cp:lastPrinted>
  <dcterms:modified xsi:type="dcterms:W3CDTF">2000-09-26T13:26:00Z</dcterms:modified>
  <cp:revision>2</cp:revision>
  <dc:subject/>
  <dc:title>AMENDMENT TO MASTER AGREEMENT</dc:title>
</cp:coreProperties>
</file>