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To:</w:t>
        <w:tab/>
        <w:tab/>
        <w:t>Anne Shea, Asst. VP, Office of Investment &amp; Banking (OIB)</w:t>
      </w:r>
    </w:p>
    <w:p>
      <w:pPr>
        <w:pStyle w:val="Normal"/>
        <w:rPr/>
      </w:pPr>
      <w:r>
        <w:rPr/>
      </w:r>
    </w:p>
    <w:p>
      <w:pPr>
        <w:pStyle w:val="Normal"/>
        <w:rPr/>
      </w:pPr>
      <w:r>
        <w:rPr/>
        <w:t>From:</w:t>
        <w:tab/>
        <w:tab/>
        <w:t>Jeff Dasovich, Director, OIB</w:t>
      </w:r>
    </w:p>
    <w:p>
      <w:pPr>
        <w:pStyle w:val="Normal"/>
        <w:rPr/>
      </w:pPr>
      <w:r>
        <w:rPr/>
      </w:r>
    </w:p>
    <w:p>
      <w:pPr>
        <w:pStyle w:val="Normal"/>
        <w:rPr/>
      </w:pPr>
      <w:r>
        <w:rPr/>
        <w:t>Date:</w:t>
        <w:tab/>
        <w:tab/>
        <w:t>February 19, 2002</w:t>
      </w:r>
    </w:p>
    <w:p>
      <w:pPr>
        <w:pStyle w:val="Normal"/>
        <w:rPr/>
      </w:pPr>
      <w:r>
        <w:rPr/>
      </w:r>
    </w:p>
    <w:p>
      <w:pPr>
        <w:pStyle w:val="BodyTextIndent"/>
        <w:rPr/>
      </w:pPr>
      <w:r>
        <w:rPr/>
        <w:t>Re:</w:t>
        <w:tab/>
        <w:t>Recommendation Regarding Curators’ Fund Participation in AMB Consolidation</w:t>
      </w:r>
    </w:p>
    <w:p>
      <w:pPr>
        <w:pStyle w:val="Heading1"/>
        <w:spacing w:lineRule="auto" w:line="480"/>
        <w:rPr/>
      </w:pPr>
      <w:r>
        <w:rPr/>
        <w:t>Summary and Recommendation</w:t>
      </w:r>
    </w:p>
    <w:p>
      <w:pPr>
        <w:pStyle w:val="Header"/>
        <w:tabs>
          <w:tab w:val="clear" w:pos="4320"/>
          <w:tab w:val="clear" w:pos="8640"/>
        </w:tabs>
        <w:spacing w:lineRule="auto" w:line="480"/>
        <w:rPr/>
      </w:pPr>
      <w:r>
        <w:rPr/>
        <w:tab/>
        <w:t>Our analysis concludes that Curators’ fund should cash out 90 percent of its investment with AMB Properties and re-allocate the funds to other securities.  Curator’s should contribute the remaining 10% of its AMB-related investments to AMB’s consolidation.  Our recommendation stems from our conclusion that 1) the additional risks associated with full participation in AMB’s consolidation do not outweigh the potential benefits, and 2) AMB’s proposed REIT structure conflicts too severely with Curators’ investment goals and strategies.</w:t>
      </w:r>
    </w:p>
    <w:p>
      <w:pPr>
        <w:pStyle w:val="Header"/>
        <w:tabs>
          <w:tab w:val="clear" w:pos="4320"/>
          <w:tab w:val="clear" w:pos="8640"/>
        </w:tabs>
        <w:spacing w:lineRule="auto" w:line="480"/>
        <w:ind w:firstLine="720" w:end="0"/>
        <w:rPr/>
      </w:pPr>
      <w:r>
        <w:rPr/>
        <w:t>Specifically, our recommendation is based on the following conclusions:</w:t>
      </w:r>
    </w:p>
    <w:p>
      <w:pPr>
        <w:pStyle w:val="Heading2"/>
        <w:numPr>
          <w:ilvl w:val="1"/>
          <w:numId w:val="2"/>
        </w:numPr>
        <w:tabs>
          <w:tab w:val="clear" w:pos="720"/>
        </w:tabs>
        <w:spacing w:lineRule="auto" w:line="480"/>
        <w:ind w:hanging="720" w:start="720" w:end="0"/>
        <w:rPr/>
      </w:pPr>
      <w:r>
        <w:rPr/>
        <w:t>The AMB REIT Creates a Mismatch with Curators’ Investment Strategy and Goals</w:t>
      </w:r>
    </w:p>
    <w:p>
      <w:pPr>
        <w:pStyle w:val="Heading2"/>
        <w:numPr>
          <w:ilvl w:val="1"/>
          <w:numId w:val="2"/>
        </w:numPr>
        <w:tabs>
          <w:tab w:val="clear" w:pos="720"/>
        </w:tabs>
        <w:spacing w:lineRule="auto" w:line="480"/>
        <w:ind w:hanging="720" w:start="720" w:end="0"/>
        <w:rPr/>
      </w:pPr>
      <w:r>
        <w:rPr/>
        <w:t>The Deal Structure May Result in a “Premium” that Falls Short of Expectations</w:t>
      </w:r>
    </w:p>
    <w:p>
      <w:pPr>
        <w:pStyle w:val="Heading2"/>
        <w:numPr>
          <w:ilvl w:val="1"/>
          <w:numId w:val="2"/>
        </w:numPr>
        <w:tabs>
          <w:tab w:val="clear" w:pos="720"/>
        </w:tabs>
        <w:spacing w:lineRule="auto" w:line="480"/>
        <w:ind w:hanging="720" w:start="720" w:end="0"/>
        <w:rPr>
          <w:b w:val="false"/>
          <w:bCs w:val="false"/>
        </w:rPr>
      </w:pPr>
      <w:r>
        <w:rPr/>
        <w:t>The “Liquidity” Benefits May Not Outweigh the Increased, Downside Risks</w:t>
      </w:r>
    </w:p>
    <w:p>
      <w:pPr>
        <w:pStyle w:val="Heading2"/>
        <w:numPr>
          <w:ilvl w:val="1"/>
          <w:numId w:val="2"/>
        </w:numPr>
        <w:tabs>
          <w:tab w:val="clear" w:pos="720"/>
        </w:tabs>
        <w:spacing w:lineRule="auto" w:line="480"/>
        <w:ind w:hanging="720" w:start="720" w:end="0"/>
        <w:rPr/>
      </w:pPr>
      <w:r>
        <w:rPr/>
        <w:t>The Structure of the Operating Partnership Poses the Potential for Serious Conflicts</w:t>
      </w:r>
    </w:p>
    <w:p>
      <w:pPr>
        <w:pStyle w:val="Heading2"/>
        <w:numPr>
          <w:ilvl w:val="1"/>
          <w:numId w:val="2"/>
        </w:numPr>
        <w:tabs>
          <w:tab w:val="clear" w:pos="720"/>
        </w:tabs>
        <w:ind w:hanging="720" w:start="720" w:end="0"/>
        <w:rPr/>
      </w:pPr>
      <w:r>
        <w:rPr/>
        <w:t>The Information Provided Raises Uncertainty about the Ability to Sustain the REIT’s Growth Projections</w:t>
      </w:r>
    </w:p>
    <w:p>
      <w:pPr>
        <w:pStyle w:val="Normal"/>
        <w:rPr/>
      </w:pPr>
      <w:r>
        <w:rPr/>
      </w:r>
    </w:p>
    <w:p>
      <w:pPr>
        <w:pStyle w:val="Heading2"/>
        <w:numPr>
          <w:ilvl w:val="1"/>
          <w:numId w:val="2"/>
        </w:numPr>
        <w:tabs>
          <w:tab w:val="clear" w:pos="720"/>
        </w:tabs>
        <w:spacing w:lineRule="auto" w:line="480"/>
        <w:ind w:hanging="720" w:start="720" w:end="0"/>
        <w:rPr>
          <w:b w:val="false"/>
          <w:bCs w:val="false"/>
        </w:rPr>
      </w:pPr>
      <w:r>
        <w:rPr/>
        <w:t xml:space="preserve">Recent Performance by REITs May Retreat to Long Term Averages </w:t>
      </w:r>
    </w:p>
    <w:p>
      <w:pPr>
        <w:pStyle w:val="Header"/>
        <w:tabs>
          <w:tab w:val="clear" w:pos="4320"/>
          <w:tab w:val="clear" w:pos="8640"/>
        </w:tabs>
        <w:spacing w:lineRule="auto" w:line="480"/>
        <w:ind w:firstLine="720" w:end="0"/>
        <w:rPr/>
      </w:pPr>
      <w:r>
        <w:rPr/>
        <w:t>For these reasons, we believe that Curators’—and its clients—are better served by reallocating the lion’s share of its real estate assets currently held in AMB properties to other real estate and non-real estate securities.  This approach ensures that Curators’ will remain focused on its investment strategy, while simultaneously making a “small bet” on the REIT market by devoting a modest portion of its assets to the AMB consolidation.</w:t>
      </w:r>
    </w:p>
    <w:p>
      <w:pPr>
        <w:pStyle w:val="Normal"/>
        <w:spacing w:lineRule="auto" w:line="480"/>
        <w:rPr>
          <w:b/>
          <w:bCs/>
          <w:i/>
          <w:i/>
          <w:iCs/>
        </w:rPr>
      </w:pPr>
      <w:r>
        <w:rPr>
          <w:b/>
          <w:bCs/>
          <w:i/>
          <w:iCs/>
        </w:rPr>
        <w:t>Analysis</w:t>
      </w:r>
    </w:p>
    <w:p>
      <w:pPr>
        <w:pStyle w:val="Heading2"/>
        <w:spacing w:lineRule="auto" w:line="480"/>
        <w:rPr/>
      </w:pPr>
      <w:r>
        <w:rPr/>
        <w:t>The Mismatch between AMB REIT and Curators’ Investment Strategy and Goals</w:t>
      </w:r>
    </w:p>
    <w:p>
      <w:pPr>
        <w:pStyle w:val="Normal"/>
        <w:spacing w:lineRule="auto" w:line="480"/>
        <w:rPr/>
      </w:pPr>
      <w:r>
        <w:rPr/>
        <w:tab/>
        <w:t>As you know, the Fund’s focus with respect to real estate investment are two-fold:  stable properties with current income and very low downside risk.  Real estate investments currently represent 5% of the Fund’s total assets.  Currently, one-half of our real estate investments reside in AMB Realty’s “Current Income Fund” (CIF).  CIF’s portfolio of stable, income-producing properties fits well with Curator’s investment goals.  The remaining fifty percent of the Fund’s real estate investments are placed in a comparable fund with a competing real estate pension advisor.</w:t>
      </w:r>
    </w:p>
    <w:p>
      <w:pPr>
        <w:pStyle w:val="Normal"/>
        <w:spacing w:lineRule="auto" w:line="480"/>
        <w:rPr/>
      </w:pPr>
      <w:r>
        <w:rPr/>
        <w:tab/>
        <w:t xml:space="preserve">The characteristics of real estate securities differ significantly from both the Fund’s investment strategy and its current real estate investments.  Morgan Stanley Dean Witter data show that REITs’ total returns outpaced the S&amp;P 500 over the past five years.  However, our group performed additional analysis that we believe should be included in Curators’ decision.  </w:t>
      </w:r>
    </w:p>
    <w:p>
      <w:pPr>
        <w:pStyle w:val="Normal"/>
        <w:spacing w:lineRule="auto" w:line="480"/>
        <w:ind w:firstLine="720" w:end="0"/>
        <w:rPr/>
      </w:pPr>
      <w:r>
        <w:rPr/>
        <w:t>Our analysis shows that, on an average annual basis, real estate securities performed about as well as international and large cap stocks over the past 20 years.  (See Exhibit 3.)  Real estate securities under-performed compared to small cap stocks and outpaced bonds and cash over the same period.  Notably, however, real estate securities were more volatile than large cap stocks (though less volatile than international and small cap stocks).</w:t>
      </w:r>
    </w:p>
    <w:p>
      <w:pPr>
        <w:pStyle w:val="Normal"/>
        <w:spacing w:lineRule="auto" w:line="480"/>
        <w:ind w:firstLine="720" w:end="0"/>
        <w:rPr/>
      </w:pPr>
      <w:r>
        <w:rPr/>
        <w:t>In short, replacing Curators’ current investment in AMB’s CIF with a comparably-sized investment in the AMB REIT represents a significant departure from Curator’s current investment goals.  With its current investment in CIF, Curators’ forgoes the “pop” that might accompany taking AMB public. Just as important, however, Curators’ also forgoes the substantial downside potential that comes with real estate securities.</w:t>
      </w:r>
    </w:p>
    <w:p>
      <w:pPr>
        <w:pStyle w:val="Normal"/>
        <w:spacing w:lineRule="auto" w:line="480"/>
        <w:ind w:firstLine="720" w:end="0"/>
        <w:rPr/>
      </w:pPr>
      <w:r>
        <w:rPr/>
      </w:r>
    </w:p>
    <w:p>
      <w:pPr>
        <w:pStyle w:val="Heading2"/>
        <w:spacing w:lineRule="auto" w:line="480"/>
        <w:rPr/>
      </w:pPr>
      <w:r>
        <w:rPr/>
        <w:t>The Deal Structure May Result in a “Premium” that Falls Short of Expectations</w:t>
      </w:r>
    </w:p>
    <w:p>
      <w:pPr>
        <w:pStyle w:val="Normal"/>
        <w:spacing w:lineRule="auto" w:line="480"/>
        <w:rPr/>
      </w:pPr>
      <w:r>
        <w:rPr/>
        <w:tab/>
        <w:t xml:space="preserve">Our analysis suggests that the “pop” that AMB would enjoy by participating fully may fall somewhat short of expectations.  As Exhibits 1 and 2 show, the premium that Curators’ can expect may fall somewhere in the range of 13%, compared to reports of premiums approximating 26%.  </w:t>
      </w:r>
    </w:p>
    <w:p>
      <w:pPr>
        <w:pStyle w:val="Normal"/>
        <w:spacing w:lineRule="auto" w:line="480"/>
        <w:ind w:firstLine="720" w:end="0"/>
        <w:rPr/>
      </w:pPr>
      <w:r>
        <w:rPr/>
        <w:t>The key factors reducing the premium include, the dilutive effect of tapping the public equity market for $300MM, the fees paid in conjunction with the IPO, and assumptions regarding the performance incentives that AMB management would enjoy.  With respect to the performance incentives, we assume that the gross performance amount for which AMB management is eligible equals the difference between the “fully distributed” value of the IPO and the “discounted” initial IPO price.  We further assumed that AMB management would receive 15% of the gross amount.</w:t>
      </w:r>
      <w:r>
        <w:rPr>
          <w:rStyle w:val="FootnoteCharacters"/>
          <w:rStyle w:val="FootnoteReference"/>
        </w:rPr>
        <w:footnoteReference w:id="2"/>
      </w:r>
      <w:r>
        <w:rPr/>
        <w:t xml:space="preserve"> </w:t>
      </w:r>
    </w:p>
    <w:p>
      <w:pPr>
        <w:pStyle w:val="Normal"/>
        <w:spacing w:lineRule="auto" w:line="480"/>
        <w:ind w:firstLine="720" w:end="0"/>
        <w:rPr/>
      </w:pPr>
      <w:r>
        <w:rPr/>
        <w:t>As a result of these adjustments, our analysis of the so-called “pop” finds that the pop may turn out to be more of a “bump.”  Moreover, we are not convinced that any such “bump” is outweighed by the increased risk of participating in the consolidation.</w:t>
      </w:r>
    </w:p>
    <w:p>
      <w:pPr>
        <w:pStyle w:val="Normal"/>
        <w:spacing w:lineRule="auto" w:line="480"/>
        <w:ind w:firstLine="720" w:end="0"/>
        <w:rPr/>
      </w:pPr>
      <w:r>
        <w:rPr/>
      </w:r>
    </w:p>
    <w:p>
      <w:pPr>
        <w:pStyle w:val="Heading2"/>
        <w:spacing w:lineRule="auto" w:line="480"/>
        <w:rPr/>
      </w:pPr>
      <w:r>
        <w:rPr/>
        <w:t>The “Liquidity” Benefits May Not Outweigh the Increased, Downside Risks</w:t>
      </w:r>
    </w:p>
    <w:p>
      <w:pPr>
        <w:pStyle w:val="Normal"/>
        <w:spacing w:lineRule="auto" w:line="480"/>
        <w:rPr/>
      </w:pPr>
      <w:r>
        <w:rPr/>
        <w:tab/>
        <w:t xml:space="preserve">Much has been made of the “liquidity benefits” associated with the consolidation.  However, as discussed further below, we believe that the increased risks associated with the deal outweigh the “liquidity” benefits.  If the fund is seeking liquidity, we believe that Curators’ can increase liquidity without assuming the same level of downside risk by re-allocating some of the assets currently devoted to real estate to other real estate and non-real estate assets.  </w:t>
      </w:r>
    </w:p>
    <w:p>
      <w:pPr>
        <w:pStyle w:val="Normal"/>
        <w:spacing w:lineRule="auto" w:line="480"/>
        <w:ind w:firstLine="720" w:end="0"/>
        <w:rPr/>
      </w:pPr>
      <w:r>
        <w:rPr/>
        <w:t>If the real estate market is truly changing in ways that make it exceedingly difficult to secure real estate assets absent a REIT structure, then Curators’ should seriously consider re-allocating some of its investments away from real estate assets.</w:t>
      </w:r>
    </w:p>
    <w:p>
      <w:pPr>
        <w:pStyle w:val="Normal"/>
        <w:spacing w:lineRule="auto" w:line="480"/>
        <w:rPr/>
      </w:pPr>
      <w:r>
        <w:rPr/>
      </w:r>
    </w:p>
    <w:p>
      <w:pPr>
        <w:pStyle w:val="Heading3"/>
        <w:spacing w:lineRule="auto" w:line="480"/>
        <w:ind w:hanging="0" w:start="0"/>
        <w:rPr>
          <w:b w:val="false"/>
          <w:bCs w:val="false"/>
        </w:rPr>
      </w:pPr>
      <w:r>
        <w:rPr/>
        <w:t>The Structure of the Operating Partnership Poses the Potential for Serious Conflicts</w:t>
      </w:r>
    </w:p>
    <w:p>
      <w:pPr>
        <w:pStyle w:val="Normal"/>
        <w:spacing w:lineRule="auto" w:line="480"/>
        <w:rPr/>
      </w:pPr>
      <w:r>
        <w:rPr/>
        <w:tab/>
        <w:t xml:space="preserve">As we understand the structure of the proposed AMB Property Corporation, AMB management will have a direct financial interest in both advising clients on investment strategies and in the performance of the REIT.  This concerns us for several reasons.  </w:t>
      </w:r>
    </w:p>
    <w:p>
      <w:pPr>
        <w:pStyle w:val="Normal"/>
        <w:spacing w:lineRule="auto" w:line="480"/>
        <w:ind w:firstLine="720" w:end="0"/>
        <w:rPr/>
      </w:pPr>
      <w:r>
        <w:rPr/>
        <w:t>First, since management will enjoy a 5% economic interest, we are concerned that management may focus disproportionately on the advising business.  If this occurs, AMB may not maximize the value of the REIT’s portfolio and Curators’ investment will suffer.</w:t>
      </w:r>
    </w:p>
    <w:p>
      <w:pPr>
        <w:pStyle w:val="Normal"/>
        <w:spacing w:lineRule="auto" w:line="480"/>
        <w:ind w:firstLine="720" w:end="0"/>
        <w:rPr/>
      </w:pPr>
      <w:r>
        <w:rPr/>
        <w:t>Second, we assume that management will continue to have an economic interest in fees generated by both the aggregate size of the REIT’s portfolio of real estate, and the number and size of transactions.  If this is the case, the advising side of the business will have a strong incentive to advise clients to invest in the REIT, and a comparably strong incentive to use the funds to generate fees by investing in additional properties on behalf of the REIT.  While this incentive is tempered somewhat by the “no churn” requirement that REITs face, the incentives—and the conflicts—persist, and the risks could be significant.</w:t>
      </w:r>
    </w:p>
    <w:p>
      <w:pPr>
        <w:pStyle w:val="BodyTextIndent2"/>
        <w:rPr/>
      </w:pPr>
      <w:r>
        <w:rPr/>
        <w:t>Third, management has a considerable stake in the performance of the stock.  This interest stems from two sources:  1) the performance provisions included in the deal that provide management with financial upside if the stock performs beyond a certain threshold, and 2) stock options granted to management as part of the deal.  These provisions provide management with the incentive to “juice up the stock” in order to cash in on the performance incentives.  Again, management seems to face a strong incentive and a potentially serious conflict:  use the advisory arm of the business to seek funds from investors to make purchases designed to inflate the stock price rather than create long-term value.  Having promised a “pop” to investors, management is likely to experience significant pressure in this regard.</w:t>
      </w:r>
    </w:p>
    <w:p>
      <w:pPr>
        <w:pStyle w:val="Normal"/>
        <w:spacing w:lineRule="auto" w:line="480"/>
        <w:rPr/>
      </w:pPr>
      <w:r>
        <w:rPr/>
      </w:r>
    </w:p>
    <w:p>
      <w:pPr>
        <w:pStyle w:val="BodyText"/>
        <w:rPr/>
      </w:pPr>
      <w:r>
        <w:rPr/>
        <w:t>The Information Provided Raises Uncertainty about the Ability to Sustain the REIT’s Growth Projections</w:t>
      </w:r>
    </w:p>
    <w:p>
      <w:pPr>
        <w:pStyle w:val="BodyText"/>
        <w:rPr/>
      </w:pPr>
      <w:r>
        <w:rPr/>
      </w:r>
    </w:p>
    <w:p>
      <w:pPr>
        <w:pStyle w:val="Normal"/>
        <w:spacing w:lineRule="auto" w:line="480"/>
        <w:rPr/>
      </w:pPr>
      <w:r>
        <w:rPr/>
        <w:tab/>
        <w:t xml:space="preserve">We understand that AMB has recently engaged in a strategy of rapid expansion.   Recently, AMB has acquired or developed approximately $600-800MM of property per year.  However, in information provided to you, we note that, on a private net asset value basis, AMB’s debt to equity ratio approximately 50%.  We are therefore quite concerned that AMB will be able to sustain the growth necessary to provide the returns that investors will expect.  </w:t>
      </w:r>
    </w:p>
    <w:p>
      <w:pPr>
        <w:pStyle w:val="Normal"/>
        <w:spacing w:lineRule="auto" w:line="480"/>
        <w:ind w:firstLine="720" w:end="0"/>
        <w:rPr/>
      </w:pPr>
      <w:r>
        <w:rPr/>
        <w:t>This concern is underlined by the fact that the REIT’s projected EBITDA for 1998 is about $223MM.  Based on that figure and other information provided, we project an AFFO for 1998 of about $126MM (See Exhibit 1).  And given the industry’s 1998 projected average AFFO payout ratio of about 76-78%, the uncertainty surrounding a sustained investment of $600-800MM increases.</w:t>
      </w:r>
    </w:p>
    <w:p>
      <w:pPr>
        <w:pStyle w:val="Normal"/>
        <w:spacing w:lineRule="auto" w:line="480"/>
        <w:ind w:firstLine="720" w:end="0"/>
        <w:rPr/>
      </w:pPr>
      <w:r>
        <w:rPr/>
      </w:r>
    </w:p>
    <w:p>
      <w:pPr>
        <w:pStyle w:val="Heading3"/>
        <w:spacing w:lineRule="auto" w:line="480"/>
        <w:ind w:hanging="0" w:start="0"/>
        <w:rPr/>
      </w:pPr>
      <w:r>
        <w:rPr/>
        <w:t>The Valuation of the Advisory and Management Business Appears Inflated</w:t>
      </w:r>
    </w:p>
    <w:p>
      <w:pPr>
        <w:pStyle w:val="Normal"/>
        <w:spacing w:lineRule="auto" w:line="480"/>
        <w:rPr/>
      </w:pPr>
      <w:r>
        <w:rPr/>
        <w:tab/>
        <w:t>Though information provided to us shows that 3</w:t>
      </w:r>
      <w:r>
        <w:rPr>
          <w:vertAlign w:val="superscript"/>
        </w:rPr>
        <w:t>rd</w:t>
      </w:r>
      <w:r>
        <w:rPr/>
        <w:t xml:space="preserve"> party appraisers participated in the valuation of the advisory and management business, we are concerned that the business may be overvalued.</w:t>
      </w:r>
    </w:p>
    <w:p>
      <w:pPr>
        <w:pStyle w:val="Normal"/>
        <w:spacing w:lineRule="auto" w:line="480"/>
        <w:rPr/>
      </w:pPr>
      <w:r>
        <w:rPr/>
        <w:tab/>
        <w:t>For our analysis, we assumed that the fee structure post-IPO would mirror the fee structure employed by AMB prior to going public.  Under that structure, AMB received on average a fee of 70 basis points on assets-under-management, and 75 basis points on the gross transaction amount.</w:t>
      </w:r>
    </w:p>
    <w:p>
      <w:pPr>
        <w:pStyle w:val="Normal"/>
        <w:spacing w:lineRule="auto" w:line="480"/>
        <w:rPr/>
      </w:pPr>
      <w:r>
        <w:rPr/>
        <w:tab/>
        <w:t>According to the information provided, projected revenues from asset management fees are about $21 million dollars.  To provide insight into this projection, if all of these fees came from assets-under-management, the amount of the underlying assets would equal $3 billion.  At the other end of the spectrum, if all of the fees came from fees on transactions, the gross amount of the transactions would equal $2.8 billion.  These figures provide the two ends of the extremes.</w:t>
      </w:r>
    </w:p>
    <w:p>
      <w:pPr>
        <w:pStyle w:val="Normal"/>
        <w:spacing w:lineRule="auto" w:line="480"/>
        <w:rPr/>
      </w:pPr>
      <w:r>
        <w:rPr/>
        <w:tab/>
        <w:t>We question the figures for two fundamental reasons. First, if, as AMB assumes, the lion’s share of its current client base agrees to participate in the consolidation, the advisory and management business will see a significant decrease in assets-under-management.  It will clearly take time to rebuild the business and generate fees comparable to those earned by the pre-IPO business.  Second, regulations restrict the extent to which REITs can “churn” assets.  It is therefore unlikely that the post-IPO business can make up for the decrease in assets-under-management by significantly increasing gross transaction amounts.</w:t>
      </w:r>
    </w:p>
    <w:p>
      <w:pPr>
        <w:pStyle w:val="Normal"/>
        <w:spacing w:lineRule="auto" w:line="480"/>
        <w:rPr/>
      </w:pPr>
      <w:r>
        <w:rPr/>
        <w:tab/>
        <w:t>In sum, we believe that the advisory and management business is overvalued.  This overstatement will both dilute Curators’ investment and overstate the REIT’s revenues.</w:t>
      </w:r>
    </w:p>
    <w:p>
      <w:pPr>
        <w:pStyle w:val="Normal"/>
        <w:spacing w:lineRule="auto" w:line="480"/>
        <w:rPr/>
      </w:pPr>
      <w:r>
        <w:rPr/>
      </w:r>
    </w:p>
    <w:p>
      <w:pPr>
        <w:pStyle w:val="Heading3"/>
        <w:spacing w:lineRule="auto" w:line="480"/>
        <w:ind w:hanging="0" w:start="0"/>
        <w:rPr>
          <w:b w:val="false"/>
          <w:bCs w:val="false"/>
        </w:rPr>
      </w:pPr>
      <w:r>
        <w:rPr/>
        <w:t>The Risk of Reversion to the Mean in Real Estate Securities</w:t>
      </w:r>
    </w:p>
    <w:p>
      <w:pPr>
        <w:pStyle w:val="Normal"/>
        <w:spacing w:lineRule="auto" w:line="480"/>
        <w:rPr/>
      </w:pPr>
      <w:r>
        <w:rPr/>
        <w:tab/>
        <w:t>As discussed above, while some reports show that REITs have outperformed the S&amp;P 500 for the 5-year period 1991-1996, a more detailed analysis of annual average performance over the past twenty years offers additional insight.  Over the past twenty years, the average annual return for real estate securities saw an average annual return of 16.58 percent.  Over the same period, large cap stocks enjoyed an annual average return of 16.52 percent (see Exhibit 3).</w:t>
      </w:r>
    </w:p>
    <w:p>
      <w:pPr>
        <w:pStyle w:val="Normal"/>
        <w:spacing w:lineRule="auto" w:line="480"/>
        <w:rPr/>
      </w:pPr>
      <w:r>
        <w:rPr/>
        <w:tab/>
        <w:t>According to the Morgan Stanley Dean Witter data, the 5-year total return in the REIT market was 17.6 percent, compared to 15.9 percent for the S&amp;P 500.  Given the average calculated over the 20-year period, we question the value of the 5-year results.  Given the data, we think it is just as likely—if not more likely—that the S&amp;P 500 could outperform REITs in the near term.  If our assumption is correct, any premium that REIT stocks have recently enjoyed will quickly evaporate—or worse.</w:t>
      </w:r>
    </w:p>
    <w:sectPr>
      <w:headerReference w:type="default" r:id="rId2"/>
      <w:footnotePr>
        <w:numFmt w:val="decimal"/>
      </w:footnotePr>
      <w:type w:val="nextPage"/>
      <w:pgSz w:w="12240" w:h="15840"/>
      <w:pgMar w:left="9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Courier New">
    <w:charset w:val="00" w:characterSet="windows-1252"/>
    <w:family w:val="modern"/>
    <w:pitch w:val="fixed"/>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15% is the midpoint between the 10-20% range that AMB management is reported to have received on average under its performance arrangements.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Jeffrey Dasovich</w:t>
    </w:r>
  </w:p>
  <w:p>
    <w:pPr>
      <w:pStyle w:val="Header"/>
      <w:jc w:val="end"/>
      <w:rPr>
        <w:sz w:val="20"/>
      </w:rPr>
    </w:pPr>
    <w:r>
      <w:rPr>
        <w:sz w:val="20"/>
      </w:rPr>
      <w:t>E284/Profs Edelstein &amp; Wallace</w:t>
    </w:r>
  </w:p>
  <w:p>
    <w:pPr>
      <w:pStyle w:val="Header"/>
      <w:jc w:val="end"/>
      <w:rPr>
        <w:sz w:val="20"/>
      </w:rPr>
    </w:pPr>
    <w:r>
      <w:rPr>
        <w:sz w:val="20"/>
      </w:rPr>
      <w:t>AMB Case</w:t>
    </w:r>
  </w:p>
  <w:p>
    <w:pPr>
      <w:pStyle w:val="Header"/>
      <w:jc w:val="end"/>
      <w:rPr>
        <w:sz w:val="20"/>
      </w:rPr>
    </w:pPr>
    <w:r>
      <w:rPr>
        <w:sz w:val="20"/>
      </w:rPr>
      <w:t>February 19, 2002</w:t>
    </w:r>
  </w:p>
  <w:p>
    <w:pPr>
      <w:pStyle w:val="Header"/>
      <w:jc w:val="end"/>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7</w:t>
    </w:r>
    <w:r>
      <w:rPr>
        <w:rStyle w:val="PageNumber"/>
        <w:sz w:val="20"/>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800"/>
        </w:tabs>
        <w:ind w:start="1800" w:hanging="360"/>
      </w:pPr>
      <w:rPr>
        <w:rFonts w:ascii="Wingdings" w:hAnsi="Wingdings" w:cs="Wingdings" w:hint="default"/>
      </w:rPr>
    </w:lvl>
    <w:lvl w:ilvl="1">
      <w:start w:val="1"/>
      <w:numFmt w:val="bullet"/>
      <w:lvlText w:val=""/>
      <w:lvlJc w:val="start"/>
      <w:pPr>
        <w:tabs>
          <w:tab w:val="num" w:pos="1440"/>
        </w:tabs>
        <w:ind w:start="1440" w:hanging="360"/>
      </w:pPr>
      <w:rPr>
        <w:rFonts w:ascii="Wingdings" w:hAnsi="Wingdings" w:cs="Wingdings"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pBdr>
        <w:top w:val="single" w:sz="4" w:space="1" w:color="000000"/>
      </w:pBdr>
      <w:ind w:hanging="1440" w:start="1440" w:end="0"/>
      <w:outlineLvl w:val="0"/>
    </w:pPr>
    <w:rPr>
      <w:b/>
      <w:bCs/>
      <w:i/>
      <w:iCs/>
    </w:rPr>
  </w:style>
  <w:style w:type="paragraph" w:styleId="Heading2">
    <w:name w:val="heading 2"/>
    <w:basedOn w:val="Normal"/>
    <w:next w:val="Normal"/>
    <w:qFormat/>
    <w:pPr>
      <w:keepNext w:val="true"/>
      <w:numPr>
        <w:ilvl w:val="1"/>
        <w:numId w:val="1"/>
      </w:numPr>
      <w:ind w:hanging="1440" w:start="1440" w:end="0"/>
      <w:outlineLvl w:val="1"/>
    </w:pPr>
    <w:rPr>
      <w:b/>
      <w:bCs/>
    </w:rPr>
  </w:style>
  <w:style w:type="paragraph" w:styleId="Heading3">
    <w:name w:val="heading 3"/>
    <w:basedOn w:val="Normal"/>
    <w:next w:val="Normal"/>
    <w:qFormat/>
    <w:pPr>
      <w:keepNext w:val="true"/>
      <w:numPr>
        <w:ilvl w:val="2"/>
        <w:numId w:val="1"/>
      </w:numPr>
      <w:outlineLvl w:val="2"/>
    </w:pPr>
    <w:rPr>
      <w:b/>
      <w:bCs/>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WW8Num3z0">
    <w:name w:val="WW8Num3z0"/>
    <w:qFormat/>
    <w:rPr>
      <w:rFonts w:ascii="Wingdings" w:hAnsi="Wingdings" w:cs="Wingdings"/>
    </w:rPr>
  </w:style>
  <w:style w:type="character" w:styleId="WW8Num3z1">
    <w:name w:val="WW8Num3z1"/>
    <w:qFormat/>
    <w:rPr>
      <w:rFonts w:ascii="Courier New" w:hAnsi="Courier New" w:cs="Courier New"/>
    </w:rPr>
  </w:style>
  <w:style w:type="character" w:styleId="WW8Num3z3">
    <w:name w:val="WW8Num3z3"/>
    <w:qFormat/>
    <w:rPr>
      <w:rFonts w:ascii="Symbol" w:hAnsi="Symbol" w:cs="Symbol"/>
    </w:rPr>
  </w:style>
  <w:style w:type="character" w:styleId="WW8Num4z0">
    <w:name w:val="WW8Num4z0"/>
    <w:qFormat/>
    <w:rPr>
      <w:rFonts w:ascii="Wingdings" w:hAnsi="Wingdings" w:cs="Wingdings"/>
    </w:rPr>
  </w:style>
  <w:style w:type="character" w:styleId="WW8Num4z1">
    <w:name w:val="WW8Num4z1"/>
    <w:qFormat/>
    <w:rPr>
      <w:rFonts w:ascii="Courier New" w:hAnsi="Courier New" w:cs="Courier New"/>
    </w:rPr>
  </w:style>
  <w:style w:type="character" w:styleId="WW8Num4z3">
    <w:name w:val="WW8Num4z3"/>
    <w:qFormat/>
    <w:rPr>
      <w:rFonts w:ascii="Symbol" w:hAnsi="Symbol" w:cs="Symbol"/>
    </w:rPr>
  </w:style>
  <w:style w:type="character" w:styleId="WW8Num5z0">
    <w:name w:val="WW8Num5z0"/>
    <w:qFormat/>
    <w:rPr>
      <w:rFonts w:ascii="Wingdings" w:hAnsi="Wingdings" w:cs="Wingdings"/>
    </w:rPr>
  </w:style>
  <w:style w:type="character" w:styleId="WW8Num5z1">
    <w:name w:val="WW8Num5z1"/>
    <w:qFormat/>
    <w:rPr>
      <w:rFonts w:ascii="Courier New" w:hAnsi="Courier New" w:cs="Courier New"/>
    </w:rPr>
  </w:style>
  <w:style w:type="character" w:styleId="WW8Num5z3">
    <w:name w:val="WW8Num5z3"/>
    <w:qFormat/>
    <w:rPr>
      <w:rFonts w:ascii="Symbol" w:hAnsi="Symbol" w:cs="Symbol"/>
    </w:rPr>
  </w:style>
  <w:style w:type="character" w:styleId="WW8Num6z0">
    <w:name w:val="WW8Num6z0"/>
    <w:qFormat/>
    <w:rPr>
      <w:rFonts w:ascii="Wingdings" w:hAnsi="Wingdings" w:cs="Wingdings"/>
    </w:rPr>
  </w:style>
  <w:style w:type="character" w:styleId="WW8Num6z3">
    <w:name w:val="WW8Num6z3"/>
    <w:qFormat/>
    <w:rPr>
      <w:rFonts w:ascii="Symbol" w:hAnsi="Symbol" w:cs="Symbol"/>
    </w:rPr>
  </w:style>
  <w:style w:type="character" w:styleId="WW8Num6z4">
    <w:name w:val="WW8Num6z4"/>
    <w:qFormat/>
    <w:rPr>
      <w:rFonts w:ascii="Courier New" w:hAnsi="Courier New" w:cs="Courier New"/>
    </w:rPr>
  </w:style>
  <w:style w:type="character" w:styleId="WW8Num7z0">
    <w:name w:val="WW8Num7z0"/>
    <w:qFormat/>
    <w:rPr>
      <w:rFonts w:ascii="Wingdings" w:hAnsi="Wingdings" w:cs="Wingdings"/>
    </w:rPr>
  </w:style>
  <w:style w:type="character" w:styleId="WW8Num7z3">
    <w:name w:val="WW8Num7z3"/>
    <w:qFormat/>
    <w:rPr>
      <w:rFonts w:ascii="Symbol" w:hAnsi="Symbol" w:cs="Symbol"/>
    </w:rPr>
  </w:style>
  <w:style w:type="character" w:styleId="WW8Num7z4">
    <w:name w:val="WW8Num7z4"/>
    <w:qFormat/>
    <w:rPr>
      <w:rFonts w:ascii="Courier New" w:hAnsi="Courier New" w:cs="Courier New"/>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1440" w:start="144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spacing w:lineRule="auto" w:line="480"/>
      <w:ind w:firstLine="720" w:start="0" w:end="0"/>
    </w:pPr>
    <w:rPr/>
  </w:style>
  <w:style w:type="paragraph" w:styleId="FootnoteText">
    <w:name w:val="footnote text"/>
    <w:basedOn w:val="Normal"/>
    <w:pPr/>
    <w:rPr>
      <w:sz w:val="20"/>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2002-02-20T04:18:00Z</dcterms:created>
  <dc:creator>jdasovic</dc:creator>
  <dc:description/>
  <dc:language>en-CA</dc:language>
  <cp:lastModifiedBy>jdasovic</cp:lastModifiedBy>
  <dcterms:modified xsi:type="dcterms:W3CDTF">2002-02-20T04:18:00Z</dcterms:modified>
  <cp:revision>2</cp:revision>
  <dc:subject/>
  <dc:title>To:</dc:title>
</cp:coreProperties>
</file>