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jc w:val="center"/>
        <w:rPr/>
      </w:pPr>
      <w:r>
        <w:rPr/>
        <w:t>Pacific Gas and Electric Company</w:t>
      </w:r>
    </w:p>
    <w:p>
      <w:pPr>
        <w:pStyle w:val="Heading1"/>
        <w:widowControl/>
        <w:ind w:hanging="0" w:start="0"/>
        <w:jc w:val="center"/>
        <w:rPr/>
      </w:pPr>
      <w:r>
        <w:rPr/>
        <w:t>DRAFT 6-30-00</w:t>
      </w:r>
    </w:p>
    <w:p>
      <w:pPr>
        <w:pStyle w:val="Normal"/>
        <w:widowControl/>
        <w:rPr/>
      </w:pPr>
      <w:r>
        <w:rPr/>
      </w:r>
    </w:p>
    <w:p>
      <w:pPr>
        <w:pStyle w:val="Normal"/>
        <w:widowControl/>
        <w:rPr/>
      </w:pPr>
      <w:r>
        <w:rPr/>
      </w:r>
    </w:p>
    <w:p>
      <w:pPr>
        <w:pStyle w:val="Normal"/>
        <w:widowControl/>
        <w:rPr/>
      </w:pPr>
      <w:r>
        <w:rPr/>
        <w:t>June XX, 2000</w:t>
      </w:r>
    </w:p>
    <w:p>
      <w:pPr>
        <w:pStyle w:val="Header"/>
        <w:widowControl/>
        <w:tabs>
          <w:tab w:val="clear" w:pos="4320"/>
          <w:tab w:val="clear" w:pos="8640"/>
        </w:tabs>
        <w:rPr/>
      </w:pPr>
      <w:r>
        <w:rPr/>
      </w:r>
    </w:p>
    <w:p>
      <w:pPr>
        <w:pStyle w:val="Normal"/>
        <w:widowControl/>
        <w:rPr/>
      </w:pPr>
      <w:r>
        <w:rPr/>
      </w:r>
    </w:p>
    <w:p>
      <w:pPr>
        <w:pStyle w:val="Normal"/>
        <w:widowControl/>
        <w:rPr>
          <w:b/>
          <w:bCs/>
        </w:rPr>
      </w:pPr>
      <w:r>
        <w:rPr>
          <w:b/>
          <w:bCs/>
        </w:rPr>
        <w:t xml:space="preserve">ADVICE 22XX-G </w:t>
      </w:r>
    </w:p>
    <w:p>
      <w:pPr>
        <w:pStyle w:val="Normal"/>
        <w:widowControl/>
        <w:rPr/>
      </w:pPr>
      <w:r>
        <w:rPr/>
      </w:r>
    </w:p>
    <w:p>
      <w:pPr>
        <w:pStyle w:val="Normal"/>
        <w:widowControl/>
        <w:rPr/>
      </w:pPr>
      <w:r>
        <w:rPr/>
      </w:r>
    </w:p>
    <w:p>
      <w:pPr>
        <w:pStyle w:val="Normal"/>
        <w:widowControl/>
        <w:rPr/>
      </w:pPr>
      <w:r>
        <w:rPr/>
        <w:t>Public Utilities Commission of the State of California</w:t>
      </w:r>
    </w:p>
    <w:p>
      <w:pPr>
        <w:pStyle w:val="Normal"/>
        <w:widowControl/>
        <w:rPr/>
      </w:pPr>
      <w:r>
        <w:rPr/>
      </w:r>
    </w:p>
    <w:p>
      <w:pPr>
        <w:pStyle w:val="Normal"/>
        <w:widowControl/>
        <w:jc w:val="both"/>
        <w:rPr/>
      </w:pPr>
      <w:r>
        <w:rPr/>
        <w:t>Pacific Gas and Electric Company (the Company) hereby submits for filing revisions to its gas tariffs. The affected tariff sheets are listed on the enclosed Attachment I.</w:t>
      </w:r>
    </w:p>
    <w:p>
      <w:pPr>
        <w:pStyle w:val="Normal"/>
        <w:widowControl/>
        <w:rPr/>
      </w:pPr>
      <w:r>
        <w:rPr/>
      </w:r>
    </w:p>
    <w:p>
      <w:pPr>
        <w:pStyle w:val="Normal"/>
        <w:widowControl/>
        <w:jc w:val="both"/>
        <w:rPr/>
      </w:pPr>
      <w:r>
        <w:rPr/>
        <w:t>The Company is requesting to reduce the current on-system in-kind shrinkage allowance set forth in gas Rule 21—</w:t>
      </w:r>
      <w:r>
        <w:rPr>
          <w:i/>
          <w:iCs/>
        </w:rPr>
        <w:t>Transportation of Natural Gas</w:t>
      </w:r>
      <w:r>
        <w:rPr/>
        <w:t>, on an interim basis, to the level proposed in the Company’s 2000 Biennial Cost Allocation Proceeding (BCAP) Application (A.) 00-04-002.  As set forth in A. 00-04-002 at p. 1-3, footnote 2, data has been compiled which indicates that the current shrinkage factors are too high.  Lowering gas deliveries by customers to more closely match the amount of shrinkage gas needed on the Company’s system will more accurately reflect current system operations. The Company proposes that these shrinkage allowances remain in effect until new shrinkage allowances are adopted in the 2000 BCAP.</w:t>
      </w:r>
      <w:r>
        <w:rPr>
          <w:rStyle w:val="FootnoteCharacters"/>
          <w:rStyle w:val="FootnoteReference"/>
        </w:rPr>
        <w:footnoteReference w:id="2"/>
      </w:r>
    </w:p>
    <w:p>
      <w:pPr>
        <w:pStyle w:val="BodyText"/>
        <w:rPr/>
      </w:pPr>
      <w:r>
        <w:rPr/>
      </w:r>
    </w:p>
    <w:p>
      <w:pPr>
        <w:pStyle w:val="BodyText"/>
        <w:rPr/>
      </w:pPr>
      <w:r>
        <w:rPr/>
        <w:t>Shrinkage gas is comprised of: 1) lost and unaccounted for gas supplies (LUAF), and 2) the Company’s gas department usage, which includes compressor fuel (GDU).  Shippers on the Company’s system are required to bring enough gas into the pipeline system to cover their customers’ metered gas use and an amount of in-kind shrinkage gas to cover both “lost” gas and the amount of gas used by the pipeline when delivering gas to customers.</w:t>
      </w:r>
    </w:p>
    <w:p>
      <w:pPr>
        <w:pStyle w:val="BodyText"/>
        <w:rPr/>
      </w:pPr>
      <w:r>
        <w:rPr/>
      </w:r>
    </w:p>
    <w:p>
      <w:pPr>
        <w:pStyle w:val="BodyText"/>
        <w:rPr/>
      </w:pPr>
      <w:r>
        <w:rPr/>
        <w:t>Based on the Company’s Gas System Operations data from Gas Accord implementation on March 1, 1998, through October 31, 1999, GDU and LUAF have been calculated at about 2.3 percent of the total system load, compared to the current adopted forecast of 3.2 percent of the total system load.</w:t>
      </w:r>
    </w:p>
    <w:p>
      <w:pPr>
        <w:pStyle w:val="BodyText"/>
        <w:rPr/>
      </w:pPr>
      <w:r>
        <w:rPr/>
      </w:r>
    </w:p>
    <w:p>
      <w:pPr>
        <w:pStyle w:val="BodyText"/>
        <w:rPr/>
      </w:pPr>
      <w:r>
        <w:rPr/>
      </w:r>
    </w:p>
    <w:p>
      <w:pPr>
        <w:pStyle w:val="Heading1"/>
        <w:widowControl/>
        <w:ind w:hanging="0" w:start="0"/>
        <w:jc w:val="center"/>
        <w:rPr/>
      </w:pPr>
      <w:r>
        <w:rPr/>
        <w:t>Pacific Gas and Electric Company</w:t>
      </w:r>
    </w:p>
    <w:p>
      <w:pPr>
        <w:pStyle w:val="Heading1"/>
        <w:widowControl/>
        <w:ind w:hanging="0" w:start="0"/>
        <w:jc w:val="center"/>
        <w:rPr/>
      </w:pPr>
      <w:r>
        <w:rPr/>
        <w:t>Draft 6-30-00</w:t>
      </w:r>
    </w:p>
    <w:p>
      <w:pPr>
        <w:pStyle w:val="BodyText"/>
        <w:rPr/>
      </w:pPr>
      <w:r>
        <w:rPr/>
        <w:t>Page 2</w:t>
      </w:r>
    </w:p>
    <w:p>
      <w:pPr>
        <w:pStyle w:val="BodyText"/>
        <w:rPr/>
      </w:pPr>
      <w:r>
        <w:rPr/>
      </w:r>
    </w:p>
    <w:p>
      <w:pPr>
        <w:pStyle w:val="BodyText"/>
        <w:rPr/>
      </w:pPr>
      <w:r>
        <w:rPr/>
      </w:r>
    </w:p>
    <w:p>
      <w:pPr>
        <w:pStyle w:val="BodyText"/>
        <w:rPr/>
      </w:pPr>
      <w:r>
        <w:rPr/>
        <w:t>The 1998 BCAP adopted shrinkage allowances are as follows:</w:t>
      </w:r>
    </w:p>
    <w:p>
      <w:pPr>
        <w:pStyle w:val="TableCaption"/>
        <w:widowControl/>
        <w:suppressLineNumbers/>
        <w:rPr/>
      </w:pPr>
      <w:r>
        <w:rPr/>
        <w:t>1998 BCAP Adopted Shrinkage Allowances</w:t>
      </w:r>
    </w:p>
    <w:tbl>
      <w:tblPr>
        <w:tblW w:w="7452" w:type="dxa"/>
        <w:jc w:val="center"/>
        <w:tblInd w:w="0" w:type="dxa"/>
        <w:tblLayout w:type="fixed"/>
        <w:tblCellMar>
          <w:top w:w="0" w:type="dxa"/>
          <w:start w:w="108" w:type="dxa"/>
          <w:bottom w:w="0" w:type="dxa"/>
          <w:end w:w="108" w:type="dxa"/>
        </w:tblCellMar>
      </w:tblPr>
      <w:tblGrid>
        <w:gridCol w:w="810"/>
        <w:gridCol w:w="1890"/>
        <w:gridCol w:w="1584"/>
        <w:gridCol w:w="1584"/>
        <w:gridCol w:w="1584"/>
      </w:tblGrid>
      <w:tr>
        <w:trPr/>
        <w:tc>
          <w:tcPr>
            <w:tcW w:w="810" w:type="dxa"/>
            <w:tcBorders/>
          </w:tcPr>
          <w:p>
            <w:pPr>
              <w:pStyle w:val="Table"/>
              <w:widowControl/>
              <w:pBdr>
                <w:bottom w:val="single" w:sz="6" w:space="1" w:color="000000"/>
              </w:pBdr>
              <w:jc w:val="center"/>
              <w:rPr/>
            </w:pPr>
            <w:r>
              <w:rPr/>
              <w:t>Line</w:t>
              <w:br/>
              <w:t>No.</w:t>
            </w:r>
          </w:p>
        </w:tc>
        <w:tc>
          <w:tcPr>
            <w:tcW w:w="1890" w:type="dxa"/>
            <w:tcBorders/>
          </w:tcPr>
          <w:p>
            <w:pPr>
              <w:pStyle w:val="Table"/>
              <w:widowControl/>
              <w:snapToGrid w:val="false"/>
              <w:jc w:val="center"/>
              <w:rPr/>
            </w:pPr>
            <w:r>
              <w:rPr/>
            </w:r>
          </w:p>
        </w:tc>
        <w:tc>
          <w:tcPr>
            <w:tcW w:w="1584" w:type="dxa"/>
            <w:tcBorders/>
          </w:tcPr>
          <w:p>
            <w:pPr>
              <w:pStyle w:val="Table"/>
              <w:widowControl/>
              <w:pBdr>
                <w:bottom w:val="single" w:sz="6" w:space="1" w:color="000000"/>
              </w:pBdr>
              <w:jc w:val="center"/>
              <w:rPr/>
            </w:pPr>
            <w:r>
              <w:rPr/>
              <w:br/>
              <w:t>Core</w:t>
            </w:r>
          </w:p>
        </w:tc>
        <w:tc>
          <w:tcPr>
            <w:tcW w:w="1584" w:type="dxa"/>
            <w:tcBorders/>
          </w:tcPr>
          <w:p>
            <w:pPr>
              <w:pStyle w:val="Table"/>
              <w:widowControl/>
              <w:pBdr>
                <w:bottom w:val="single" w:sz="6" w:space="1" w:color="000000"/>
              </w:pBdr>
              <w:jc w:val="center"/>
              <w:rPr/>
            </w:pPr>
            <w:r>
              <w:rPr/>
              <w:t>Noncore Distribution</w:t>
            </w:r>
          </w:p>
        </w:tc>
        <w:tc>
          <w:tcPr>
            <w:tcW w:w="1584" w:type="dxa"/>
            <w:tcBorders/>
          </w:tcPr>
          <w:p>
            <w:pPr>
              <w:pStyle w:val="Table"/>
              <w:widowControl/>
              <w:pBdr>
                <w:bottom w:val="single" w:sz="6" w:space="1" w:color="000000"/>
              </w:pBdr>
              <w:jc w:val="center"/>
              <w:rPr/>
            </w:pPr>
            <w:r>
              <w:rPr/>
              <w:t>Noncore Transmission</w:t>
            </w:r>
          </w:p>
        </w:tc>
      </w:tr>
      <w:tr>
        <w:trPr/>
        <w:tc>
          <w:tcPr>
            <w:tcW w:w="810" w:type="dxa"/>
            <w:tcBorders/>
          </w:tcPr>
          <w:p>
            <w:pPr>
              <w:pStyle w:val="Table-FirstRow"/>
              <w:widowControl/>
              <w:spacing w:before="120" w:after="120"/>
              <w:jc w:val="center"/>
              <w:rPr/>
            </w:pPr>
            <w:r>
              <w:rPr/>
              <w:t>1</w:t>
            </w:r>
          </w:p>
        </w:tc>
        <w:tc>
          <w:tcPr>
            <w:tcW w:w="1890" w:type="dxa"/>
            <w:tcBorders/>
          </w:tcPr>
          <w:p>
            <w:pPr>
              <w:pStyle w:val="Table-FirstRow"/>
              <w:widowControl/>
              <w:spacing w:before="120" w:after="120"/>
              <w:rPr/>
            </w:pPr>
            <w:r>
              <w:rPr/>
              <w:t>Transmission</w:t>
            </w:r>
          </w:p>
        </w:tc>
        <w:tc>
          <w:tcPr>
            <w:tcW w:w="1584" w:type="dxa"/>
            <w:tcBorders/>
          </w:tcPr>
          <w:p>
            <w:pPr>
              <w:pStyle w:val="Table-FirstRow"/>
              <w:widowControl/>
              <w:tabs>
                <w:tab w:val="clear" w:pos="720"/>
                <w:tab w:val="decimal" w:pos="522" w:leader="none"/>
              </w:tabs>
              <w:spacing w:before="120" w:after="120"/>
              <w:rPr/>
            </w:pPr>
            <w:r>
              <w:rPr/>
              <w:t>1.73%</w:t>
            </w:r>
          </w:p>
        </w:tc>
        <w:tc>
          <w:tcPr>
            <w:tcW w:w="1584" w:type="dxa"/>
            <w:tcBorders/>
          </w:tcPr>
          <w:p>
            <w:pPr>
              <w:pStyle w:val="Table-FirstRow"/>
              <w:widowControl/>
              <w:tabs>
                <w:tab w:val="clear" w:pos="720"/>
                <w:tab w:val="decimal" w:pos="558" w:leader="none"/>
              </w:tabs>
              <w:spacing w:before="120" w:after="120"/>
              <w:rPr/>
            </w:pPr>
            <w:r>
              <w:rPr/>
              <w:t>1.73%</w:t>
            </w:r>
          </w:p>
        </w:tc>
        <w:tc>
          <w:tcPr>
            <w:tcW w:w="1584" w:type="dxa"/>
            <w:tcBorders/>
          </w:tcPr>
          <w:p>
            <w:pPr>
              <w:pStyle w:val="Table-FirstRow"/>
              <w:widowControl/>
              <w:tabs>
                <w:tab w:val="clear" w:pos="720"/>
                <w:tab w:val="decimal" w:pos="504" w:leader="none"/>
              </w:tabs>
              <w:spacing w:before="120" w:after="120"/>
              <w:rPr/>
            </w:pPr>
            <w:r>
              <w:rPr/>
              <w:t>1.73%</w:t>
            </w:r>
          </w:p>
        </w:tc>
      </w:tr>
      <w:tr>
        <w:trPr/>
        <w:tc>
          <w:tcPr>
            <w:tcW w:w="810" w:type="dxa"/>
            <w:tcBorders/>
          </w:tcPr>
          <w:p>
            <w:pPr>
              <w:pStyle w:val="Table"/>
              <w:widowControl/>
              <w:spacing w:before="0" w:after="120"/>
              <w:jc w:val="center"/>
              <w:rPr/>
            </w:pPr>
            <w:r>
              <w:rPr/>
              <w:t>2</w:t>
            </w:r>
          </w:p>
        </w:tc>
        <w:tc>
          <w:tcPr>
            <w:tcW w:w="1890" w:type="dxa"/>
            <w:tcBorders/>
          </w:tcPr>
          <w:p>
            <w:pPr>
              <w:pStyle w:val="Table"/>
              <w:widowControl/>
              <w:spacing w:before="0" w:after="120"/>
              <w:rPr/>
            </w:pPr>
            <w:r>
              <w:rPr/>
              <w:t>Distribution</w:t>
            </w:r>
          </w:p>
        </w:tc>
        <w:tc>
          <w:tcPr>
            <w:tcW w:w="1584" w:type="dxa"/>
            <w:tcBorders/>
          </w:tcPr>
          <w:p>
            <w:pPr>
              <w:pStyle w:val="Table"/>
              <w:widowControl/>
              <w:tabs>
                <w:tab w:val="clear" w:pos="720"/>
                <w:tab w:val="decimal" w:pos="522" w:leader="none"/>
              </w:tabs>
              <w:spacing w:before="0" w:after="120"/>
              <w:rPr>
                <w:u w:val="single"/>
              </w:rPr>
            </w:pPr>
            <w:r>
              <w:rPr>
                <w:u w:val="single"/>
              </w:rPr>
              <w:t>4.02%</w:t>
            </w:r>
          </w:p>
        </w:tc>
        <w:tc>
          <w:tcPr>
            <w:tcW w:w="1584" w:type="dxa"/>
            <w:tcBorders/>
          </w:tcPr>
          <w:p>
            <w:pPr>
              <w:pStyle w:val="Table"/>
              <w:widowControl/>
              <w:tabs>
                <w:tab w:val="clear" w:pos="720"/>
                <w:tab w:val="decimal" w:pos="558" w:leader="none"/>
              </w:tabs>
              <w:spacing w:before="0" w:after="120"/>
              <w:rPr>
                <w:u w:val="single"/>
              </w:rPr>
            </w:pPr>
            <w:r>
              <w:rPr>
                <w:u w:val="single"/>
              </w:rPr>
              <w:t>0.22%</w:t>
            </w:r>
          </w:p>
        </w:tc>
        <w:tc>
          <w:tcPr>
            <w:tcW w:w="1584" w:type="dxa"/>
            <w:tcBorders/>
          </w:tcPr>
          <w:p>
            <w:pPr>
              <w:pStyle w:val="Table"/>
              <w:widowControl/>
              <w:tabs>
                <w:tab w:val="clear" w:pos="720"/>
                <w:tab w:val="decimal" w:pos="504" w:leader="none"/>
              </w:tabs>
              <w:spacing w:before="0" w:after="120"/>
              <w:jc w:val="center"/>
              <w:rPr/>
            </w:pPr>
            <w:r>
              <w:rPr/>
              <w:t xml:space="preserve">----    </w:t>
            </w:r>
          </w:p>
        </w:tc>
      </w:tr>
      <w:tr>
        <w:trPr/>
        <w:tc>
          <w:tcPr>
            <w:tcW w:w="810" w:type="dxa"/>
            <w:tcBorders/>
          </w:tcPr>
          <w:p>
            <w:pPr>
              <w:pStyle w:val="Table"/>
              <w:widowControl/>
              <w:spacing w:before="0" w:after="120"/>
              <w:jc w:val="center"/>
              <w:rPr/>
            </w:pPr>
            <w:r>
              <w:rPr/>
              <w:t>3</w:t>
            </w:r>
          </w:p>
        </w:tc>
        <w:tc>
          <w:tcPr>
            <w:tcW w:w="1890" w:type="dxa"/>
            <w:tcBorders/>
          </w:tcPr>
          <w:p>
            <w:pPr>
              <w:pStyle w:val="Table"/>
              <w:widowControl/>
              <w:spacing w:before="0" w:after="120"/>
              <w:rPr/>
            </w:pPr>
            <w:r>
              <w:rPr/>
              <w:t>Total</w:t>
            </w:r>
          </w:p>
        </w:tc>
        <w:tc>
          <w:tcPr>
            <w:tcW w:w="1584" w:type="dxa"/>
            <w:tcBorders/>
          </w:tcPr>
          <w:p>
            <w:pPr>
              <w:pStyle w:val="Table"/>
              <w:widowControl/>
              <w:tabs>
                <w:tab w:val="clear" w:pos="720"/>
                <w:tab w:val="decimal" w:pos="522" w:leader="none"/>
              </w:tabs>
              <w:spacing w:before="0" w:after="120"/>
              <w:rPr/>
            </w:pPr>
            <w:r>
              <w:rPr/>
              <w:t>5.75%</w:t>
            </w:r>
          </w:p>
        </w:tc>
        <w:tc>
          <w:tcPr>
            <w:tcW w:w="1584" w:type="dxa"/>
            <w:tcBorders/>
          </w:tcPr>
          <w:p>
            <w:pPr>
              <w:pStyle w:val="Table"/>
              <w:widowControl/>
              <w:tabs>
                <w:tab w:val="clear" w:pos="720"/>
                <w:tab w:val="decimal" w:pos="558" w:leader="none"/>
              </w:tabs>
              <w:spacing w:before="0" w:after="120"/>
              <w:rPr/>
            </w:pPr>
            <w:r>
              <w:rPr/>
              <w:t>1.95%</w:t>
            </w:r>
          </w:p>
        </w:tc>
        <w:tc>
          <w:tcPr>
            <w:tcW w:w="1584" w:type="dxa"/>
            <w:tcBorders/>
          </w:tcPr>
          <w:p>
            <w:pPr>
              <w:pStyle w:val="Table"/>
              <w:widowControl/>
              <w:tabs>
                <w:tab w:val="clear" w:pos="720"/>
                <w:tab w:val="decimal" w:pos="504" w:leader="none"/>
              </w:tabs>
              <w:spacing w:before="0" w:after="120"/>
              <w:rPr/>
            </w:pPr>
            <w:r>
              <w:rPr/>
              <w:t>1.73%</w:t>
            </w:r>
          </w:p>
        </w:tc>
      </w:tr>
    </w:tbl>
    <w:p>
      <w:pPr>
        <w:pStyle w:val="BodyText"/>
        <w:rPr/>
      </w:pPr>
      <w:r>
        <w:rPr/>
      </w:r>
    </w:p>
    <w:p>
      <w:pPr>
        <w:pStyle w:val="BodyText"/>
        <w:rPr/>
      </w:pPr>
      <w:r>
        <w:rPr/>
      </w:r>
    </w:p>
    <w:p>
      <w:pPr>
        <w:pStyle w:val="BodyText"/>
        <w:rPr/>
      </w:pPr>
      <w:r>
        <w:rPr/>
        <w:t>In the Company’s 2000 BCAP, proposed shrinkage allowances are based on a shrinkage forecast of 2.3 percent of the total system load (see p. 6-19, Revised Testimony Incorporating May 2000 Errata, filed June 6, 2000) as follows:</w:t>
      </w:r>
    </w:p>
    <w:p>
      <w:pPr>
        <w:pStyle w:val="TableCaption"/>
        <w:widowControl/>
        <w:suppressLineNumbers/>
        <w:rPr/>
      </w:pPr>
      <w:r>
        <w:rPr/>
        <w:t>Proposed Shrinkage Allowances</w:t>
      </w:r>
    </w:p>
    <w:tbl>
      <w:tblPr>
        <w:tblW w:w="7445" w:type="dxa"/>
        <w:jc w:val="center"/>
        <w:tblInd w:w="0" w:type="dxa"/>
        <w:tblLayout w:type="fixed"/>
        <w:tblCellMar>
          <w:top w:w="0" w:type="dxa"/>
          <w:start w:w="108" w:type="dxa"/>
          <w:bottom w:w="0" w:type="dxa"/>
          <w:end w:w="108" w:type="dxa"/>
        </w:tblCellMar>
      </w:tblPr>
      <w:tblGrid>
        <w:gridCol w:w="806"/>
        <w:gridCol w:w="1854"/>
        <w:gridCol w:w="32"/>
        <w:gridCol w:w="1563"/>
        <w:gridCol w:w="21"/>
        <w:gridCol w:w="1574"/>
        <w:gridCol w:w="10"/>
        <w:gridCol w:w="1585"/>
      </w:tblGrid>
      <w:tr>
        <w:trPr/>
        <w:tc>
          <w:tcPr>
            <w:tcW w:w="806" w:type="dxa"/>
            <w:tcBorders/>
          </w:tcPr>
          <w:p>
            <w:pPr>
              <w:pStyle w:val="Table"/>
              <w:widowControl/>
              <w:jc w:val="center"/>
              <w:rPr/>
            </w:pPr>
            <w:r>
              <w:rPr/>
              <w:t>Line</w:t>
            </w:r>
          </w:p>
          <w:p>
            <w:pPr>
              <w:pStyle w:val="Table"/>
              <w:widowControl/>
              <w:pBdr>
                <w:bottom w:val="single" w:sz="6" w:space="1" w:color="000000"/>
              </w:pBdr>
              <w:jc w:val="center"/>
              <w:rPr/>
            </w:pPr>
            <w:r>
              <w:rPr/>
              <w:t>No.</w:t>
            </w:r>
          </w:p>
        </w:tc>
        <w:tc>
          <w:tcPr>
            <w:tcW w:w="1886" w:type="dxa"/>
            <w:gridSpan w:val="2"/>
            <w:tcBorders/>
          </w:tcPr>
          <w:p>
            <w:pPr>
              <w:pStyle w:val="Table"/>
              <w:widowControl/>
              <w:snapToGrid w:val="false"/>
              <w:jc w:val="center"/>
              <w:rPr/>
            </w:pPr>
            <w:r>
              <w:rPr/>
            </w:r>
          </w:p>
        </w:tc>
        <w:tc>
          <w:tcPr>
            <w:tcW w:w="1584" w:type="dxa"/>
            <w:gridSpan w:val="2"/>
            <w:tcBorders/>
          </w:tcPr>
          <w:p>
            <w:pPr>
              <w:pStyle w:val="Table"/>
              <w:widowControl/>
              <w:pBdr>
                <w:bottom w:val="single" w:sz="6" w:space="1" w:color="000000"/>
              </w:pBdr>
              <w:jc w:val="center"/>
              <w:rPr/>
            </w:pPr>
            <w:r>
              <w:rPr/>
              <w:br/>
              <w:t>Core</w:t>
            </w:r>
          </w:p>
        </w:tc>
        <w:tc>
          <w:tcPr>
            <w:tcW w:w="1584" w:type="dxa"/>
            <w:gridSpan w:val="2"/>
            <w:tcBorders/>
          </w:tcPr>
          <w:p>
            <w:pPr>
              <w:pStyle w:val="Table"/>
              <w:widowControl/>
              <w:pBdr>
                <w:bottom w:val="single" w:sz="6" w:space="1" w:color="000000"/>
              </w:pBdr>
              <w:jc w:val="center"/>
              <w:rPr/>
            </w:pPr>
            <w:r>
              <w:rPr/>
              <w:t>Noncore Distribution</w:t>
            </w:r>
          </w:p>
        </w:tc>
        <w:tc>
          <w:tcPr>
            <w:tcW w:w="1585" w:type="dxa"/>
            <w:tcBorders/>
          </w:tcPr>
          <w:p>
            <w:pPr>
              <w:pStyle w:val="Table"/>
              <w:widowControl/>
              <w:pBdr>
                <w:bottom w:val="single" w:sz="6" w:space="1" w:color="000000"/>
              </w:pBdr>
              <w:jc w:val="center"/>
              <w:rPr/>
            </w:pPr>
            <w:r>
              <w:rPr/>
              <w:t>Noncore Transmission</w:t>
            </w:r>
          </w:p>
        </w:tc>
      </w:tr>
      <w:tr>
        <w:trPr/>
        <w:tc>
          <w:tcPr>
            <w:tcW w:w="806" w:type="dxa"/>
            <w:tcBorders/>
          </w:tcPr>
          <w:p>
            <w:pPr>
              <w:pStyle w:val="Table-FirstRow"/>
              <w:widowControl/>
              <w:spacing w:before="120" w:after="120"/>
              <w:jc w:val="center"/>
              <w:rPr/>
            </w:pPr>
            <w:r>
              <w:rPr/>
              <w:t>1</w:t>
            </w:r>
          </w:p>
        </w:tc>
        <w:tc>
          <w:tcPr>
            <w:tcW w:w="1854" w:type="dxa"/>
            <w:tcBorders/>
          </w:tcPr>
          <w:p>
            <w:pPr>
              <w:pStyle w:val="Table-FirstRow"/>
              <w:widowControl/>
              <w:spacing w:before="120" w:after="120"/>
              <w:rPr/>
            </w:pPr>
            <w:r>
              <w:rPr/>
              <w:t>Transmission</w:t>
            </w:r>
          </w:p>
        </w:tc>
        <w:tc>
          <w:tcPr>
            <w:tcW w:w="1595" w:type="dxa"/>
            <w:gridSpan w:val="2"/>
            <w:tcBorders/>
          </w:tcPr>
          <w:p>
            <w:pPr>
              <w:pStyle w:val="Table-FirstRow"/>
              <w:widowControl/>
              <w:tabs>
                <w:tab w:val="clear" w:pos="720"/>
                <w:tab w:val="decimal" w:pos="472" w:leader="none"/>
              </w:tabs>
              <w:spacing w:before="120" w:after="120"/>
              <w:rPr/>
            </w:pPr>
            <w:r>
              <w:rPr/>
              <w:t>1.37%</w:t>
            </w:r>
          </w:p>
        </w:tc>
        <w:tc>
          <w:tcPr>
            <w:tcW w:w="1595" w:type="dxa"/>
            <w:gridSpan w:val="2"/>
            <w:tcBorders/>
          </w:tcPr>
          <w:p>
            <w:pPr>
              <w:pStyle w:val="Table-FirstRow"/>
              <w:widowControl/>
              <w:tabs>
                <w:tab w:val="clear" w:pos="720"/>
                <w:tab w:val="decimal" w:pos="508" w:leader="none"/>
              </w:tabs>
              <w:spacing w:before="120" w:after="120"/>
              <w:rPr/>
            </w:pPr>
            <w:r>
              <w:rPr/>
              <w:t>1.37%</w:t>
            </w:r>
          </w:p>
        </w:tc>
        <w:tc>
          <w:tcPr>
            <w:tcW w:w="1595" w:type="dxa"/>
            <w:gridSpan w:val="2"/>
            <w:tcBorders/>
          </w:tcPr>
          <w:p>
            <w:pPr>
              <w:pStyle w:val="Table-FirstRow"/>
              <w:widowControl/>
              <w:tabs>
                <w:tab w:val="clear" w:pos="720"/>
                <w:tab w:val="decimal" w:pos="454" w:leader="none"/>
              </w:tabs>
              <w:spacing w:before="120" w:after="120"/>
              <w:rPr/>
            </w:pPr>
            <w:r>
              <w:rPr/>
              <w:t>1.37%</w:t>
            </w:r>
          </w:p>
        </w:tc>
      </w:tr>
      <w:tr>
        <w:trPr/>
        <w:tc>
          <w:tcPr>
            <w:tcW w:w="806" w:type="dxa"/>
            <w:tcBorders/>
          </w:tcPr>
          <w:p>
            <w:pPr>
              <w:pStyle w:val="Table"/>
              <w:widowControl/>
              <w:jc w:val="center"/>
              <w:rPr/>
            </w:pPr>
            <w:r>
              <w:rPr/>
              <w:t>2</w:t>
            </w:r>
          </w:p>
        </w:tc>
        <w:tc>
          <w:tcPr>
            <w:tcW w:w="1854" w:type="dxa"/>
            <w:tcBorders/>
          </w:tcPr>
          <w:p>
            <w:pPr>
              <w:pStyle w:val="Table"/>
              <w:widowControl/>
              <w:rPr/>
            </w:pPr>
            <w:r>
              <w:rPr/>
              <w:t>Distribution</w:t>
            </w:r>
          </w:p>
        </w:tc>
        <w:tc>
          <w:tcPr>
            <w:tcW w:w="1595" w:type="dxa"/>
            <w:gridSpan w:val="2"/>
            <w:tcBorders/>
          </w:tcPr>
          <w:p>
            <w:pPr>
              <w:pStyle w:val="Table"/>
              <w:widowControl/>
              <w:tabs>
                <w:tab w:val="clear" w:pos="720"/>
                <w:tab w:val="decimal" w:pos="472" w:leader="none"/>
              </w:tabs>
              <w:rPr>
                <w:u w:val="single"/>
              </w:rPr>
            </w:pPr>
            <w:r>
              <w:rPr>
                <w:u w:val="single"/>
              </w:rPr>
              <w:t>2.31%</w:t>
            </w:r>
          </w:p>
        </w:tc>
        <w:tc>
          <w:tcPr>
            <w:tcW w:w="1595" w:type="dxa"/>
            <w:gridSpan w:val="2"/>
            <w:tcBorders/>
          </w:tcPr>
          <w:p>
            <w:pPr>
              <w:pStyle w:val="Table"/>
              <w:widowControl/>
              <w:tabs>
                <w:tab w:val="clear" w:pos="720"/>
                <w:tab w:val="decimal" w:pos="508" w:leader="none"/>
              </w:tabs>
              <w:rPr>
                <w:u w:val="single"/>
              </w:rPr>
            </w:pPr>
            <w:r>
              <w:rPr>
                <w:u w:val="single"/>
              </w:rPr>
              <w:t>0.16%</w:t>
            </w:r>
          </w:p>
        </w:tc>
        <w:tc>
          <w:tcPr>
            <w:tcW w:w="1595" w:type="dxa"/>
            <w:gridSpan w:val="2"/>
            <w:tcBorders/>
          </w:tcPr>
          <w:p>
            <w:pPr>
              <w:pStyle w:val="Table"/>
              <w:widowControl/>
              <w:tabs>
                <w:tab w:val="clear" w:pos="720"/>
                <w:tab w:val="left" w:pos="123" w:leader="none"/>
                <w:tab w:val="decimal" w:pos="303" w:leader="none"/>
              </w:tabs>
              <w:jc w:val="center"/>
              <w:rPr/>
            </w:pPr>
            <w:r>
              <w:rPr/>
              <w:t>----</w:t>
            </w:r>
          </w:p>
        </w:tc>
      </w:tr>
      <w:tr>
        <w:trPr/>
        <w:tc>
          <w:tcPr>
            <w:tcW w:w="806" w:type="dxa"/>
            <w:tcBorders/>
          </w:tcPr>
          <w:p>
            <w:pPr>
              <w:pStyle w:val="Table"/>
              <w:widowControl/>
              <w:spacing w:before="120" w:after="120"/>
              <w:jc w:val="center"/>
              <w:rPr/>
            </w:pPr>
            <w:r>
              <w:rPr/>
              <w:t>3</w:t>
            </w:r>
          </w:p>
        </w:tc>
        <w:tc>
          <w:tcPr>
            <w:tcW w:w="1854" w:type="dxa"/>
            <w:tcBorders/>
          </w:tcPr>
          <w:p>
            <w:pPr>
              <w:pStyle w:val="Table"/>
              <w:widowControl/>
              <w:spacing w:before="120" w:after="120"/>
              <w:rPr/>
            </w:pPr>
            <w:r>
              <w:rPr/>
              <w:t>Total</w:t>
            </w:r>
          </w:p>
        </w:tc>
        <w:tc>
          <w:tcPr>
            <w:tcW w:w="1595" w:type="dxa"/>
            <w:gridSpan w:val="2"/>
            <w:tcBorders/>
          </w:tcPr>
          <w:p>
            <w:pPr>
              <w:pStyle w:val="Table"/>
              <w:widowControl/>
              <w:tabs>
                <w:tab w:val="clear" w:pos="720"/>
                <w:tab w:val="decimal" w:pos="472" w:leader="none"/>
              </w:tabs>
              <w:spacing w:before="120" w:after="120"/>
              <w:rPr/>
            </w:pPr>
            <w:r>
              <w:rPr/>
              <w:t>3.68%</w:t>
            </w:r>
          </w:p>
        </w:tc>
        <w:tc>
          <w:tcPr>
            <w:tcW w:w="1595" w:type="dxa"/>
            <w:gridSpan w:val="2"/>
            <w:tcBorders/>
          </w:tcPr>
          <w:p>
            <w:pPr>
              <w:pStyle w:val="Table"/>
              <w:widowControl/>
              <w:tabs>
                <w:tab w:val="clear" w:pos="720"/>
                <w:tab w:val="decimal" w:pos="508" w:leader="none"/>
              </w:tabs>
              <w:spacing w:before="120" w:after="120"/>
              <w:rPr/>
            </w:pPr>
            <w:r>
              <w:rPr/>
              <w:t>1.53%</w:t>
            </w:r>
          </w:p>
        </w:tc>
        <w:tc>
          <w:tcPr>
            <w:tcW w:w="1595" w:type="dxa"/>
            <w:gridSpan w:val="2"/>
            <w:tcBorders/>
          </w:tcPr>
          <w:p>
            <w:pPr>
              <w:pStyle w:val="Table"/>
              <w:widowControl/>
              <w:tabs>
                <w:tab w:val="clear" w:pos="720"/>
                <w:tab w:val="decimal" w:pos="454" w:leader="none"/>
              </w:tabs>
              <w:spacing w:before="120" w:after="120"/>
              <w:rPr/>
            </w:pPr>
            <w:r>
              <w:rPr/>
              <w:t>1.37%</w:t>
            </w:r>
          </w:p>
        </w:tc>
      </w:tr>
    </w:tbl>
    <w:p>
      <w:pPr>
        <w:pStyle w:val="BodyText"/>
        <w:rPr/>
      </w:pPr>
      <w:r>
        <w:rPr/>
      </w:r>
    </w:p>
    <w:p>
      <w:pPr>
        <w:pStyle w:val="BodyText"/>
        <w:rPr/>
      </w:pPr>
      <w:r>
        <w:rPr/>
        <w:t>The Company’s gas procurement department delivers shrinkage gas in-kind for its core procurement and core subscription customers. Upon Commission approval of this advice filing, the shrinkage rate components of the monthly procurement price changes for core Schedule G-CP and core subscription Schedule G-CSP will be revised to reflect the new shrinkage allowances.</w:t>
      </w:r>
    </w:p>
    <w:p>
      <w:pPr>
        <w:pStyle w:val="Normal"/>
        <w:widowControl/>
        <w:rPr/>
      </w:pPr>
      <w:r>
        <w:rPr/>
      </w:r>
    </w:p>
    <w:p>
      <w:pPr>
        <w:pStyle w:val="Normal"/>
        <w:widowControl/>
        <w:jc w:val="both"/>
        <w:rPr/>
      </w:pPr>
      <w:r>
        <w:rPr/>
        <w:t>This filing will not affect any other rate or charge, cause the withdrawal of service, or conflict with any other rate schedule or rule.</w:t>
      </w:r>
    </w:p>
    <w:p>
      <w:pPr>
        <w:pStyle w:val="Normal"/>
        <w:widowControl/>
        <w:rPr/>
      </w:pPr>
      <w:r>
        <w:rPr/>
      </w:r>
    </w:p>
    <w:p>
      <w:pPr>
        <w:pStyle w:val="Normal"/>
        <w:widowControl/>
        <w:jc w:val="both"/>
        <w:rPr/>
      </w:pPr>
      <w:r>
        <w:rPr/>
        <w:t xml:space="preserve">The Company requests that this filing be approved effective </w:t>
      </w:r>
      <w:r>
        <w:rPr>
          <w:b/>
          <w:bCs/>
        </w:rPr>
        <w:t>October 1, 2000,</w:t>
      </w:r>
      <w:r>
        <w:rPr/>
        <w:t xml:space="preserve"> which is more than 40 days after the date of this filing.  In the alternative, the Company will implement this filing on the first day of the month following the month in which the Commission approves this filing.</w:t>
      </w:r>
    </w:p>
    <w:p>
      <w:pPr>
        <w:pStyle w:val="Normal"/>
        <w:widowControl/>
        <w:jc w:val="both"/>
        <w:rPr/>
      </w:pPr>
      <w:r>
        <w:rPr/>
      </w:r>
    </w:p>
    <w:p>
      <w:pPr>
        <w:pStyle w:val="Normal"/>
        <w:widowControl/>
        <w:jc w:val="both"/>
        <w:rPr/>
      </w:pPr>
      <w:r>
        <w:rPr/>
      </w:r>
    </w:p>
    <w:p>
      <w:pPr>
        <w:pStyle w:val="Heading3"/>
        <w:widowControl/>
        <w:ind w:hanging="0" w:start="0"/>
        <w:rPr/>
      </w:pPr>
      <w:r>
        <w:rPr/>
        <w:t>DRAFT 6-30-00</w:t>
      </w:r>
    </w:p>
    <w:p>
      <w:pPr>
        <w:pStyle w:val="Normal"/>
        <w:widowControl/>
        <w:jc w:val="both"/>
        <w:rPr/>
      </w:pPr>
      <w:r>
        <w:rPr/>
        <w:t>Page 3</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Anyone wishing to protest this advice letter may do so by sending a letter within twenty (20) days after the date of this filing.  Protests should be mailed to:</w:t>
      </w:r>
    </w:p>
    <w:p>
      <w:pPr>
        <w:pStyle w:val="Normal"/>
        <w:widowControl/>
        <w:rPr/>
      </w:pPr>
      <w:r>
        <w:rPr/>
      </w:r>
    </w:p>
    <w:p>
      <w:pPr>
        <w:pStyle w:val="Normal"/>
        <w:widowControl/>
        <w:ind w:start="2160" w:end="0"/>
        <w:rPr/>
      </w:pPr>
      <w:r>
        <w:rPr/>
        <w:tab/>
        <w:t>IMC Branch Chief</w:t>
      </w:r>
    </w:p>
    <w:p>
      <w:pPr>
        <w:pStyle w:val="Normal"/>
        <w:widowControl/>
        <w:ind w:start="2160" w:end="0"/>
        <w:rPr/>
      </w:pPr>
      <w:r>
        <w:rPr/>
        <w:tab/>
        <w:t>Energy Division</w:t>
      </w:r>
    </w:p>
    <w:p>
      <w:pPr>
        <w:pStyle w:val="Normal"/>
        <w:widowControl/>
        <w:ind w:start="2160" w:end="0"/>
        <w:rPr/>
      </w:pPr>
      <w:r>
        <w:rPr/>
        <w:tab/>
        <w:t>California Public Utilities Commission</w:t>
      </w:r>
    </w:p>
    <w:p>
      <w:pPr>
        <w:pStyle w:val="Normal"/>
        <w:widowControl/>
        <w:ind w:start="2160" w:end="0"/>
        <w:rPr/>
      </w:pPr>
      <w:r>
        <w:rPr/>
        <w:tab/>
        <w:t>505 Van Ness Avenue, Room 4002</w:t>
      </w:r>
    </w:p>
    <w:p>
      <w:pPr>
        <w:pStyle w:val="Normal"/>
        <w:widowControl/>
        <w:ind w:start="2160" w:end="0"/>
        <w:rPr/>
      </w:pPr>
      <w:r>
        <w:rPr/>
        <w:tab/>
        <w:t>San Francisco, California 94102</w:t>
      </w:r>
    </w:p>
    <w:p>
      <w:pPr>
        <w:pStyle w:val="Normal"/>
        <w:widowControl/>
        <w:ind w:start="2160" w:end="0"/>
        <w:rPr/>
      </w:pPr>
      <w:r>
        <w:rPr/>
        <w:tab/>
        <w:t>Facsimile: (415) 703-2200</w:t>
      </w:r>
    </w:p>
    <w:p>
      <w:pPr>
        <w:pStyle w:val="Normal"/>
        <w:widowControl/>
        <w:rPr/>
      </w:pPr>
      <w:r>
        <w:rPr/>
      </w:r>
    </w:p>
    <w:p>
      <w:pPr>
        <w:pStyle w:val="Normal"/>
        <w:widowControl/>
        <w:jc w:val="both"/>
        <w:rPr/>
      </w:pPr>
      <w:r>
        <w:rPr/>
        <w:t>Copies should also be mailed to the attention of Director, Energy Division, and Jerry Royer, Energy Division, at the address above. A copy of the protest should be sent by U.S. mail and via facsimile to:</w:t>
      </w:r>
    </w:p>
    <w:p>
      <w:pPr>
        <w:pStyle w:val="Normal"/>
        <w:widowControl/>
        <w:jc w:val="both"/>
        <w:rPr/>
      </w:pPr>
      <w:r>
        <w:rPr/>
      </w:r>
    </w:p>
    <w:p>
      <w:pPr>
        <w:pStyle w:val="Normal"/>
        <w:widowControl/>
        <w:ind w:start="720" w:end="0"/>
        <w:jc w:val="both"/>
        <w:rPr/>
      </w:pPr>
      <w:r>
        <w:rPr/>
        <w:tab/>
        <w:tab/>
        <w:tab/>
        <w:t>Pacific Gas and Electric Company</w:t>
      </w:r>
    </w:p>
    <w:p>
      <w:pPr>
        <w:pStyle w:val="Normal"/>
        <w:widowControl/>
        <w:ind w:start="720" w:end="0"/>
        <w:jc w:val="both"/>
        <w:rPr/>
      </w:pPr>
      <w:r>
        <w:rPr/>
        <w:tab/>
        <w:tab/>
        <w:tab/>
        <w:t>Attention: Les Guliasi</w:t>
      </w:r>
    </w:p>
    <w:p>
      <w:pPr>
        <w:pStyle w:val="Normal"/>
        <w:widowControl/>
        <w:ind w:start="720" w:end="0"/>
        <w:jc w:val="both"/>
        <w:rPr/>
      </w:pPr>
      <w:r>
        <w:rPr/>
        <w:tab/>
        <w:tab/>
        <w:tab/>
        <w:t>Manager, Regulatory Relations</w:t>
      </w:r>
    </w:p>
    <w:p>
      <w:pPr>
        <w:pStyle w:val="Normal"/>
        <w:widowControl/>
        <w:ind w:start="720" w:end="0"/>
        <w:jc w:val="both"/>
        <w:rPr/>
      </w:pPr>
      <w:r>
        <w:rPr/>
        <w:tab/>
        <w:tab/>
        <w:tab/>
        <w:t>77 Beale Street, Mail Code B10C</w:t>
      </w:r>
    </w:p>
    <w:p>
      <w:pPr>
        <w:pStyle w:val="Normal"/>
        <w:widowControl/>
        <w:ind w:start="720" w:end="0"/>
        <w:jc w:val="both"/>
        <w:rPr/>
      </w:pPr>
      <w:r>
        <w:rPr/>
        <w:tab/>
        <w:tab/>
        <w:tab/>
        <w:t>P.O. Box 770000</w:t>
      </w:r>
    </w:p>
    <w:p>
      <w:pPr>
        <w:pStyle w:val="Normal"/>
        <w:widowControl/>
        <w:ind w:start="720" w:end="0"/>
        <w:jc w:val="both"/>
        <w:rPr/>
      </w:pPr>
      <w:r>
        <w:rPr/>
        <w:tab/>
        <w:tab/>
        <w:tab/>
        <w:t>San Francisco, California 94177</w:t>
      </w:r>
    </w:p>
    <w:p>
      <w:pPr>
        <w:pStyle w:val="Normal"/>
        <w:widowControl/>
        <w:ind w:start="720" w:end="0"/>
        <w:jc w:val="both"/>
        <w:rPr/>
      </w:pPr>
      <w:r>
        <w:rPr/>
        <w:tab/>
        <w:tab/>
        <w:tab/>
        <w:t>Facsimile:  (415) 973-7226</w:t>
      </w:r>
    </w:p>
    <w:p>
      <w:pPr>
        <w:pStyle w:val="Normal"/>
        <w:widowControl/>
        <w:jc w:val="both"/>
        <w:rPr/>
      </w:pPr>
      <w:r>
        <w:rPr/>
      </w:r>
    </w:p>
    <w:p>
      <w:pPr>
        <w:pStyle w:val="Normal"/>
        <w:widowControl/>
        <w:jc w:val="both"/>
        <w:rPr/>
      </w:pPr>
      <w:r>
        <w:rPr/>
      </w:r>
    </w:p>
    <w:p>
      <w:pPr>
        <w:pStyle w:val="Normal"/>
        <w:widowControl/>
        <w:jc w:val="both"/>
        <w:rPr/>
      </w:pPr>
      <w:r>
        <w:rPr/>
        <w:t>The protest shall set forth the grounds upon which it is based, and shall be submitted expeditiously.  There is no restriction on who may file a protest.</w:t>
      </w:r>
    </w:p>
    <w:p>
      <w:pPr>
        <w:pStyle w:val="Normal"/>
        <w:widowControl/>
        <w:jc w:val="both"/>
        <w:rPr/>
      </w:pPr>
      <w:r>
        <w:rPr/>
      </w:r>
    </w:p>
    <w:p>
      <w:pPr>
        <w:pStyle w:val="Normal"/>
        <w:widowControl/>
        <w:jc w:val="both"/>
        <w:rPr/>
      </w:pPr>
      <w:r>
        <w:rPr/>
        <w:t>In accordance with Section III, Paragraph G, of General Order 96-A, the Company is mailing copies of this advice letter to the utilities and interested parties shown on the attached list and to the service lists shown below.  For mailing list changes, please telephone Nelia Avendano at (415) 973-3529.</w:t>
      </w:r>
    </w:p>
    <w:p>
      <w:pPr>
        <w:pStyle w:val="Normal"/>
        <w:widowControl/>
        <w:rPr/>
      </w:pPr>
      <w:r>
        <w:rPr/>
      </w:r>
    </w:p>
    <w:p>
      <w:pPr>
        <w:pStyle w:val="Normal"/>
        <w:widowControl/>
        <w:rPr/>
      </w:pPr>
      <w:r>
        <w:rPr/>
      </w:r>
    </w:p>
    <w:p>
      <w:pPr>
        <w:pStyle w:val="Normal"/>
        <w:widowControl/>
        <w:rPr/>
      </w:pPr>
      <w:r>
        <w:rPr/>
      </w:r>
    </w:p>
    <w:p>
      <w:pPr>
        <w:pStyle w:val="Normal"/>
        <w:widowControl/>
        <w:rPr/>
      </w:pPr>
      <w:r>
        <w:rPr/>
        <w:t>Vice President – Regulatory Relations</w:t>
      </w:r>
    </w:p>
    <w:p>
      <w:pPr>
        <w:pStyle w:val="Normal"/>
        <w:widowControl/>
        <w:rPr/>
      </w:pPr>
      <w:r>
        <w:rPr/>
      </w:r>
    </w:p>
    <w:p>
      <w:pPr>
        <w:pStyle w:val="Normal"/>
        <w:rPr/>
      </w:pPr>
      <w:r>
        <w:rPr/>
      </w:r>
    </w:p>
    <w:p>
      <w:pPr>
        <w:pStyle w:val="Normal"/>
        <w:rPr/>
      </w:pPr>
      <w:r>
        <w:rPr/>
      </w:r>
    </w:p>
    <w:p>
      <w:pPr>
        <w:pStyle w:val="Normal"/>
        <w:rPr/>
      </w:pPr>
      <w:r>
        <w:rPr/>
        <w:t>cc: Service Lists – BCAP A. 00-04-002</w:t>
      </w:r>
    </w:p>
    <w:p>
      <w:pPr>
        <w:pStyle w:val="Normal"/>
        <w:rPr/>
      </w:pPr>
      <w:r>
        <w:rPr/>
        <w:t xml:space="preserve">      </w:t>
      </w:r>
      <w:r>
        <w:rPr/>
        <w:t>OII Settlement Parties</w:t>
      </w:r>
    </w:p>
    <w:sectPr>
      <w:footerReference w:type="default" r:id="rId2"/>
      <w:footnotePr>
        <w:numFmt w:val="decimal"/>
      </w:footnotePr>
      <w:type w:val="nextPage"/>
      <w:pgSz w:w="12240" w:h="15840"/>
      <w:pgMar w:left="1728" w:right="1728"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end"/>
      <w:rPr>
        <w:sz w:val="22"/>
        <w:szCs w:val="22"/>
      </w:rPr>
    </w:pPr>
    <w:r>
      <w:rPr>
        <w:sz w:val="22"/>
        <w:szCs w:val="22"/>
      </w:rPr>
      <w:t>ID U39G</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widowControl/>
        <w:ind w:start="360" w:end="0"/>
        <w:rPr/>
      </w:pPr>
      <w:r>
        <w:rPr>
          <w:rStyle w:val="FootnoteCharacters"/>
        </w:rPr>
        <w:footnoteRef/>
      </w:r>
      <w:r>
        <w:rPr/>
        <w:t xml:space="preserve"> </w:t>
      </w:r>
      <w:r>
        <w:rPr>
          <w:color w:val="000000"/>
          <w:sz w:val="20"/>
          <w:szCs w:val="20"/>
        </w:rPr>
        <w:t>The Company continues to study ways to better manage shrinkage on its system.  As an example, the Company is examining mechanisms used by other pipelines.  If the Company determines that further proposals should be implemented, such as a true-up mechanism to adjust for the over- and under-collection of shrinkage that may occur during the period of the Gas Accord, it may file for such proposals through a separate mechanism.  The Company will work with interested parties prior to making such a filing.</w:t>
      </w:r>
    </w:p>
    <w:p>
      <w:pPr>
        <w:pStyle w:val="Normal"/>
        <w:widowControl/>
        <w:ind w:start="360" w:end="0"/>
        <w:rPr>
          <w:color w:val="000000"/>
          <w:sz w:val="20"/>
          <w:szCs w:val="20"/>
        </w:rPr>
      </w:pPr>
      <w:r>
        <w:rPr>
          <w:color w:val="000000"/>
          <w:sz w:val="20"/>
          <w:szCs w:val="20"/>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jc w:val="center"/>
      <w:outlineLvl w:val="2"/>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rFonts w:ascii="Times New Roman" w:hAnsi="Times New Roman" w:eastAsia="Times New Roman" w:cs="Times New Roman"/>
      <w:sz w:val="20"/>
      <w:szCs w:val="20"/>
    </w:rPr>
  </w:style>
  <w:style w:type="paragraph" w:styleId="Body2">
    <w:name w:val="Body 2"/>
    <w:basedOn w:val="Normal"/>
    <w:qFormat/>
    <w:pPr>
      <w:spacing w:lineRule="exact" w:line="400"/>
      <w:ind w:firstLine="432" w:start="864" w:end="0"/>
    </w:pPr>
    <w:rPr/>
  </w:style>
  <w:style w:type="paragraph" w:styleId="TableCaption">
    <w:name w:val="Table Caption"/>
    <w:basedOn w:val="Body2"/>
    <w:qFormat/>
    <w:pPr>
      <w:keepNext w:val="true"/>
      <w:keepLines/>
      <w:spacing w:lineRule="atLeast" w:line="240" w:before="440" w:after="220"/>
      <w:ind w:hanging="0" w:start="0" w:end="0"/>
      <w:jc w:val="center"/>
    </w:pPr>
    <w:rPr>
      <w:b/>
      <w:bCs/>
      <w:caps/>
      <w:sz w:val="20"/>
      <w:szCs w:val="20"/>
    </w:rPr>
  </w:style>
  <w:style w:type="paragraph" w:styleId="Table">
    <w:name w:val="Table"/>
    <w:basedOn w:val="Body2"/>
    <w:qFormat/>
    <w:pPr>
      <w:keepNext w:val="true"/>
      <w:keepLines/>
      <w:spacing w:lineRule="auto" w:line="240"/>
      <w:ind w:hanging="0" w:start="0" w:end="0"/>
    </w:pPr>
    <w:rPr>
      <w:sz w:val="20"/>
      <w:szCs w:val="20"/>
    </w:rPr>
  </w:style>
  <w:style w:type="paragraph" w:styleId="Table-FirstRow">
    <w:name w:val="Table - First Row"/>
    <w:basedOn w:val="Table"/>
    <w:qFormat/>
    <w:pPr>
      <w:spacing w:before="120" w:after="0"/>
    </w:pPr>
    <w:rPr/>
  </w:style>
  <w:style w:type="paragraph" w:styleId="Table-LastRow">
    <w:name w:val="Table - Last Row"/>
    <w:basedOn w:val="Table"/>
    <w:qFormat/>
    <w:pPr>
      <w:keepNext w:val="false"/>
      <w:spacing w:before="12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2000-06-30T18:11:00Z</dcterms:created>
  <dc:creator>A PG&amp;E Employee</dc:creator>
  <dc:description/>
  <dc:language>en-CA</dc:language>
  <cp:lastModifiedBy>A PG&amp;E Employee</cp:lastModifiedBy>
  <cp:lastPrinted>2000-06-30T13:37:00Z</cp:lastPrinted>
  <dcterms:modified xsi:type="dcterms:W3CDTF">2000-06-30T18:11:00Z</dcterms:modified>
  <cp:revision>2</cp:revision>
  <dc:subject/>
  <dc:title>ADVICE LETTER: </dc:title>
</cp:coreProperties>
</file>