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2160" w:start="2160" w:end="0"/>
        <w:rPr/>
      </w:pPr>
      <w:r>
        <w:rPr>
          <w:b/>
          <w:sz w:val="24"/>
        </w:rPr>
        <w:t>Q.3.2.3:</w:t>
        <w:tab/>
      </w:r>
      <w:r>
        <w:rPr>
          <w:sz w:val="24"/>
        </w:rPr>
        <w:t xml:space="preserve"> Is there no balancing function at all for noncore not using local transmission or distribution?</w:t>
      </w:r>
    </w:p>
    <w:p>
      <w:pPr>
        <w:pStyle w:val="Normal"/>
        <w:rPr>
          <w:sz w:val="24"/>
        </w:rPr>
      </w:pPr>
      <w:r>
        <w:rPr>
          <w:sz w:val="24"/>
        </w:rPr>
      </w:r>
    </w:p>
    <w:p>
      <w:pPr>
        <w:pStyle w:val="Normal"/>
        <w:rPr/>
      </w:pPr>
      <w:r>
        <w:rPr>
          <w:b/>
          <w:sz w:val="24"/>
        </w:rPr>
        <w:t>R.3.2.3:</w:t>
        <w:tab/>
      </w:r>
      <w:r>
        <w:rPr>
          <w:sz w:val="24"/>
        </w:rPr>
        <w:t>The default balancing service is provided using storage assets.  This service can be provided to any customer regardless of where they are interconnected on the SoCalGas system.</w:t>
      </w:r>
    </w:p>
    <w:p>
      <w:pPr>
        <w:pStyle w:val="Normal"/>
        <w:rPr>
          <w:sz w:val="24"/>
        </w:rPr>
      </w:pPr>
      <w:r>
        <w:rPr>
          <w:sz w:val="24"/>
        </w:rPr>
      </w:r>
    </w:p>
    <w:p>
      <w:pPr>
        <w:pStyle w:val="Normal"/>
        <w:rPr/>
      </w:pPr>
      <w:r>
        <w:rPr>
          <w:b/>
          <w:sz w:val="24"/>
        </w:rPr>
        <w:t>Q.3.2.3.3</w:t>
      </w:r>
      <w:r>
        <w:rPr>
          <w:sz w:val="24"/>
        </w:rPr>
        <w:t>:</w:t>
        <w:tab/>
        <w:tab/>
        <w:t xml:space="preserve"> Only noncore local transmission and distribution rates?</w:t>
      </w:r>
    </w:p>
    <w:p>
      <w:pPr>
        <w:pStyle w:val="Normal"/>
        <w:rPr>
          <w:sz w:val="24"/>
        </w:rPr>
      </w:pPr>
      <w:r>
        <w:rPr>
          <w:sz w:val="24"/>
        </w:rPr>
      </w:r>
    </w:p>
    <w:p>
      <w:pPr>
        <w:pStyle w:val="Normal"/>
        <w:rPr/>
      </w:pPr>
      <w:r>
        <w:rPr>
          <w:b/>
          <w:sz w:val="24"/>
        </w:rPr>
        <w:t>R.3.2.3.3</w:t>
        <w:tab/>
        <w:tab/>
      </w:r>
      <w:r>
        <w:rPr>
          <w:sz w:val="24"/>
        </w:rPr>
        <w:t>The CSA proposes that balancing charges be collected separately from the backbone or storage rates and be included in local transmission and distribution rates.  The issue of direct connection to the backbone transmission system and the appropriate rates is not resolved in the CSA (see 1.1.3.10).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2000-05-30T13:37:00Z</dcterms:created>
  <dc:creator>Craig Chancellor</dc:creator>
  <dc:description/>
  <dc:language>en-CA</dc:language>
  <cp:lastModifiedBy>Craig Chancellor</cp:lastModifiedBy>
  <cp:lastPrinted>2000-05-30T09:30:00Z</cp:lastPrinted>
  <dcterms:modified xsi:type="dcterms:W3CDTF">2000-05-30T14:27:00Z</dcterms:modified>
  <cp:revision>1</cp:revision>
  <dc:subject/>
  <dc:title>Q</dc:title>
</cp:coreProperties>
</file>