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center" w:pos="4680" w:leader="none"/>
          <w:tab w:val="right" w:pos="9360" w:leader="none"/>
        </w:tabs>
        <w:rPr/>
      </w:pPr>
      <w:r>
        <w:rPr/>
        <w:t>ALJ/MLC/eap</w:t>
        <w:tab/>
      </w:r>
      <w:r>
        <w:rPr>
          <w:rFonts w:eastAsia="Helvetica;Arial" w:cs="Helvetica;Arial" w:ascii="Helvetica;Arial" w:hAnsi="Helvetica;Arial"/>
          <w:b/>
          <w:bCs/>
          <w:sz w:val="32"/>
          <w:szCs w:val="32"/>
        </w:rPr>
        <w:t>DRAFT</w:t>
        <w:tab/>
      </w:r>
      <w:r>
        <w:rPr>
          <w:b/>
          <w:bCs/>
          <w:sz w:val="28"/>
          <w:szCs w:val="28"/>
        </w:rPr>
        <w:t>Item 8</w:t>
      </w:r>
    </w:p>
    <w:p>
      <w:pPr>
        <w:pStyle w:val="Header"/>
        <w:tabs>
          <w:tab w:val="clear" w:pos="8640"/>
          <w:tab w:val="center" w:pos="4320" w:leader="none"/>
          <w:tab w:val="right" w:pos="9360" w:leader="none"/>
        </w:tabs>
        <w:rPr/>
      </w:pPr>
      <w:r>
        <w:rPr/>
        <w:tab/>
        <w:tab/>
      </w:r>
      <w:r>
        <w:rPr>
          <w:b/>
          <w:bCs/>
          <w:sz w:val="28"/>
          <w:szCs w:val="28"/>
        </w:rPr>
        <w:t>9/7/00</w:t>
      </w:r>
    </w:p>
    <w:p>
      <w:pPr>
        <w:pStyle w:val="Normal"/>
        <w:widowControl/>
        <w:suppressAutoHyphens w:val="true"/>
        <w:rPr>
          <w:b/>
          <w:bCs/>
          <w:sz w:val="28"/>
          <w:szCs w:val="28"/>
        </w:rPr>
      </w:pPr>
      <w:r>
        <w:rPr>
          <w:b/>
          <w:bCs/>
          <w:sz w:val="28"/>
          <w:szCs w:val="28"/>
        </w:rPr>
      </w:r>
    </w:p>
    <w:p>
      <w:pPr>
        <w:pStyle w:val="Normal"/>
        <w:widowControl/>
        <w:suppressAutoHyphens w:val="true"/>
        <w:rPr/>
      </w:pPr>
      <w:r>
        <w:rPr/>
        <w:t xml:space="preserve">Decision </w:t>
      </w:r>
      <w:r>
        <w:rPr>
          <w:b/>
          <w:bCs/>
          <w:u w:val="single"/>
        </w:rPr>
        <w:t>DRAFT DECISION OF ALJ COOKE</w:t>
      </w:r>
      <w:r>
        <w:rPr/>
        <w:t xml:space="preserve">  (Mailed 8/25/2000)</w:t>
      </w:r>
    </w:p>
    <w:p>
      <w:pPr>
        <w:pStyle w:val="Normal"/>
        <w:widowControl/>
        <w:suppressAutoHyphens w:val="true"/>
        <w:rPr/>
      </w:pPr>
      <w:r>
        <w:rPr/>
      </w:r>
    </w:p>
    <w:p>
      <w:pPr>
        <w:pStyle w:val="titlebar"/>
        <w:widowControl/>
        <w:rPr>
          <w:sz w:val="24"/>
          <w:szCs w:val="24"/>
        </w:rPr>
      </w:pPr>
      <w:r>
        <w:rPr>
          <w:sz w:val="24"/>
          <w:szCs w:val="24"/>
        </w:rPr>
        <w:t>BEFORE THE PUBLIC UTILITIES COMMISSION OF THE STATE OF CALIFORNIA</w:t>
      </w:r>
    </w:p>
    <w:p>
      <w:pPr>
        <w:pStyle w:val="Normal"/>
        <w:widowControl/>
        <w:suppressAutoHyphens w:val="true"/>
        <w:rPr>
          <w:sz w:val="24"/>
          <w:szCs w:val="24"/>
        </w:rPr>
      </w:pPr>
      <w:r>
        <w:rPr>
          <w:sz w:val="24"/>
          <w:szCs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widowControl/>
              <w:tabs>
                <w:tab w:val="clear" w:pos="720"/>
                <w:tab w:val="left" w:pos="1440" w:leader="none"/>
                <w:tab w:val="left" w:pos="3600" w:leader="none"/>
              </w:tabs>
              <w:rPr/>
            </w:pPr>
            <w:r>
              <w:rPr/>
              <w:t>Order Instituting Rulemaking on the Commission's Proposed Policies Governing Restructuring California's Electric Services Industry and Reforming Regulation.</w:t>
            </w:r>
          </w:p>
          <w:p>
            <w:pPr>
              <w:pStyle w:val="Normal"/>
              <w:widowControl/>
              <w:rPr/>
            </w:pPr>
            <w:r>
              <w:rPr/>
            </w:r>
          </w:p>
        </w:tc>
        <w:tc>
          <w:tcPr>
            <w:tcW w:w="3600" w:type="dxa"/>
            <w:tcBorders/>
          </w:tcPr>
          <w:p>
            <w:pPr>
              <w:pStyle w:val="Normal"/>
              <w:widowControl/>
              <w:snapToGrid w:val="false"/>
              <w:jc w:val="center"/>
              <w:rPr/>
            </w:pPr>
            <w:r>
              <w:rPr/>
            </w:r>
          </w:p>
          <w:p>
            <w:pPr>
              <w:pStyle w:val="Normal"/>
              <w:widowControl/>
              <w:jc w:val="center"/>
              <w:rPr/>
            </w:pPr>
            <w:r>
              <w:rPr/>
              <w:t>Rulemaking 94-04-031</w:t>
            </w:r>
          </w:p>
          <w:p>
            <w:pPr>
              <w:pStyle w:val="Normal"/>
              <w:widowControl/>
              <w:jc w:val="center"/>
              <w:rPr/>
            </w:pPr>
            <w:r>
              <w:rPr/>
              <w:t>(Filed April 20, 1994)</w:t>
            </w:r>
          </w:p>
        </w:tc>
      </w:tr>
      <w:tr>
        <w:trPr/>
        <w:tc>
          <w:tcPr>
            <w:tcW w:w="5958" w:type="dxa"/>
            <w:tcBorders>
              <w:bottom w:val="single" w:sz="6" w:space="0" w:color="000000"/>
              <w:end w:val="single" w:sz="6" w:space="0" w:color="000000"/>
            </w:tcBorders>
          </w:tcPr>
          <w:p>
            <w:pPr>
              <w:pStyle w:val="Normal"/>
              <w:widowControl/>
              <w:tabs>
                <w:tab w:val="clear" w:pos="720"/>
                <w:tab w:val="left" w:pos="1440" w:leader="none"/>
                <w:tab w:val="left" w:pos="3600" w:leader="none"/>
              </w:tabs>
              <w:rPr/>
            </w:pPr>
            <w:r>
              <w:rPr/>
              <w:t>Order Instituting Investigation on the Commission's Proposed Policies Governing Restructuring California's Electric Services Industry and Reforming Regulation.</w:t>
            </w:r>
          </w:p>
          <w:p>
            <w:pPr>
              <w:pStyle w:val="Normal"/>
              <w:widowControl/>
              <w:rPr/>
            </w:pPr>
            <w:r>
              <w:rPr/>
            </w:r>
          </w:p>
        </w:tc>
        <w:tc>
          <w:tcPr>
            <w:tcW w:w="3600" w:type="dxa"/>
            <w:tcBorders/>
          </w:tcPr>
          <w:p>
            <w:pPr>
              <w:pStyle w:val="Normal"/>
              <w:widowControl/>
              <w:snapToGrid w:val="false"/>
              <w:jc w:val="center"/>
              <w:rPr/>
            </w:pPr>
            <w:r>
              <w:rPr/>
            </w:r>
          </w:p>
          <w:p>
            <w:pPr>
              <w:pStyle w:val="Normal"/>
              <w:widowControl/>
              <w:jc w:val="center"/>
              <w:rPr/>
            </w:pPr>
            <w:r>
              <w:rPr/>
              <w:t>Investigation 94-04-032</w:t>
            </w:r>
          </w:p>
          <w:p>
            <w:pPr>
              <w:pStyle w:val="Normal"/>
              <w:widowControl/>
              <w:jc w:val="center"/>
              <w:rPr/>
            </w:pPr>
            <w:r>
              <w:rPr/>
              <w:t>(Filed April 20, 1994)</w:t>
            </w:r>
          </w:p>
        </w:tc>
      </w:tr>
    </w:tbl>
    <w:p>
      <w:pPr>
        <w:pStyle w:val="Normal"/>
        <w:widowControl/>
        <w:suppressAutoHyphens w:val="true"/>
        <w:rPr/>
      </w:pPr>
      <w:r>
        <w:rPr/>
      </w:r>
    </w:p>
    <w:p>
      <w:pPr>
        <w:pStyle w:val="Normal"/>
        <w:widowControl/>
        <w:rPr/>
      </w:pPr>
      <w:r>
        <w:rPr/>
      </w:r>
    </w:p>
    <w:p>
      <w:pPr>
        <w:pStyle w:val="main"/>
        <w:widowControl/>
        <w:rPr/>
      </w:pPr>
      <w:r>
        <w:rPr/>
        <w:t>OPINION REGARDING BILATERAL CONTRACTS</w:t>
      </w:r>
    </w:p>
    <w:p>
      <w:pPr>
        <w:pStyle w:val="Normal"/>
        <w:widowControl/>
        <w:suppressAutoHyphens w:val="true"/>
        <w:rPr/>
      </w:pPr>
      <w:r>
        <w:rPr/>
      </w:r>
    </w:p>
    <w:p>
      <w:pPr>
        <w:pStyle w:val="Heading1"/>
        <w:widowControl/>
        <w:ind w:hanging="0" w:start="0"/>
        <w:rPr/>
      </w:pPr>
      <w:r>
        <w:rPr/>
        <w:t>Summary</w:t>
      </w:r>
    </w:p>
    <w:p>
      <w:pPr>
        <w:pStyle w:val="standard"/>
        <w:widowControl/>
        <w:rPr/>
      </w:pPr>
      <w:r>
        <w:rPr/>
        <w:t>This decision authorizes San Diego Gas &amp; Electric Company (SDG&amp;E) to purchase energy and ancillary services and capacity products in the bilateral market and to set up a memorandum account to track related costs.  Such transactions are confined to previously authorized limits in the forward market and must expire on or before December 31, 2002.  Reasonableness reviews will be implemented consistent with the standards adopted in this decision.</w:t>
      </w:r>
    </w:p>
    <w:p>
      <w:pPr>
        <w:pStyle w:val="Heading1"/>
        <w:widowControl/>
        <w:ind w:hanging="0" w:start="0"/>
        <w:rPr/>
      </w:pPr>
      <w:r>
        <w:rPr/>
        <w:t>Procedural Background</w:t>
      </w:r>
    </w:p>
    <w:p>
      <w:pPr>
        <w:pStyle w:val="standard"/>
        <w:widowControl/>
        <w:rPr/>
      </w:pPr>
      <w:r>
        <w:rPr/>
        <w:t>On August 9, 2000, SDG&amp;E filed an emergency motion seeking authorization to enter into bilateral power contracts.  SDG&amp;E also seeks approval to establish a sub-account to track related costs within the Purchased Electric Commodity Account (PECA).  SDG&amp;E seeks similar authority to that granted to Southern California Edison Company (SCE) and Pacific Gas and Electric Company (PG&amp;E) in Decision (D.) 00-08-023.</w:t>
      </w:r>
    </w:p>
    <w:p>
      <w:pPr>
        <w:pStyle w:val="standard"/>
        <w:widowControl/>
        <w:rPr/>
      </w:pPr>
      <w:r>
        <w:rPr/>
        <w:t>On August 14, 2000, Administrative Law Judge Cooke issued a ruling establishing a procedural schedule for handling the motion.  Responses to the motion were filed on August 17, 2000 by the City of San Diego (City)</w:t>
      </w:r>
      <w:r>
        <w:rPr>
          <w:rStyle w:val="FootnoteCharacters"/>
          <w:rStyle w:val="FootnoteReference"/>
          <w:sz w:val="24"/>
          <w:szCs w:val="24"/>
        </w:rPr>
        <w:footnoteReference w:id="2"/>
      </w:r>
      <w:r>
        <w:rPr/>
        <w:t>, the Office of Ratepayer Advocates (ORA), the Utility Reform Network (TURN), California Power Exchange (PX), Western Power Trading Forum (WPTF), the Alliance for Retail Markets (ARM), and Shell Energy Services LLC (Shell).</w:t>
      </w:r>
    </w:p>
    <w:p>
      <w:pPr>
        <w:pStyle w:val="Heading1"/>
        <w:widowControl/>
        <w:ind w:hanging="0" w:start="0"/>
        <w:rPr/>
      </w:pPr>
      <w:r>
        <w:rPr/>
        <w:t>Motion</w:t>
      </w:r>
    </w:p>
    <w:p>
      <w:pPr>
        <w:pStyle w:val="standard"/>
        <w:widowControl/>
        <w:rPr/>
      </w:pPr>
      <w:r>
        <w:rPr/>
        <w:t xml:space="preserve">SDG&amp;E’s motion requests authority to establish a sub-account within the PECA to record costs associated with the purchase of energy and ancillary services in the bilateral market for delivery through the PX day-ahead or day-of markets as well as authority to record costs associated with the purchase of capacity with associated energy as a hedging product.  For those products which the PX’s bilateral delivery service cannot accommodate, SDG&amp;E would require that any bilateral contract specify that the products go to physical delivery in the PX day-ahead or day-of markets or that SDG&amp;E would procure transmission needed to physically deliver into the PX markets.  In such instance, SDG&amp;E would make available to the PX, on a confidential basis, the terms of its contract for the purposes of allowing market monitoring. </w:t>
      </w:r>
    </w:p>
    <w:p>
      <w:pPr>
        <w:pStyle w:val="standard"/>
        <w:widowControl/>
        <w:rPr/>
      </w:pPr>
      <w:r>
        <w:rPr/>
        <w:t>Although SDG&amp;E previously has requested Commission authorization to participate in the Block Forward Market (BFM) energy and ancillary services market, SDG&amp;E has not, until now, requested Commission authorization to use the bilateral option feature of the California Trading Services Division (CTS). However, the PX has continually enhanced its BFM, including the bilateral option.  The bilateral option has evolved to the point where delivery may be accomplished through the PX day-ahead market.  Entering into appropriate bilateral transactions and providing delivery through the PX’s bilateral delivery option has been approved for SCE and PG&amp;E, and SDG&amp;E now requests the same authority.  The PX’s bilateral delivery option requires that the terms of the transaction be disclosed on a confidential basis to the PX.  SDG&amp;E will also disclose all transactions that use the PX’s bilateral delivery option to this Commission on a confidential basis.  SDG&amp;E proposes to submit such a report on a monthly basis.  For bilateral transactions that the PX’s bilateral delivery option cannot accommodate, SDG&amp;E proposes to either require physical delivery in the PX’s day-ahead or day-of markets on a “must-deliver, must-take” basis, or SDG&amp;E will procure the transmission needed to be able to physically deliver in the PX markets.</w:t>
      </w:r>
    </w:p>
    <w:p>
      <w:pPr>
        <w:pStyle w:val="standard"/>
        <w:widowControl/>
        <w:rPr>
          <w:sz w:val="32"/>
          <w:szCs w:val="32"/>
          <w:vertAlign w:val="superscript"/>
        </w:rPr>
      </w:pPr>
      <w:r>
        <w:rPr/>
        <w:t>Under the terms of the Commission’s D.00-08-021, SDG&amp;E is currently authorized to participate in the PX forward markets for energy services, subject to seasonal trading limits, through the end of the last utility rate freeze.  SDG&amp;E is not proposing an increase to the limits approved in D.00-08-021 and will treat its capacity purchases under those limits, although it reserves the right to request expanded authority in the future.</w:t>
      </w:r>
    </w:p>
    <w:p>
      <w:pPr>
        <w:pStyle w:val="standard"/>
        <w:widowControl/>
        <w:rPr/>
      </w:pPr>
      <w:r>
        <w:rPr/>
        <w:t xml:space="preserve">Consistent with D.00-08-023, SDG&amp;E requests authorization to enter into bilateral contracts that expire on or before December 31, 2005.  SDG&amp;E proposes that costs associated with, and gains/losses from these bilateral contracts should be attributed only to small commercial and residential customers.  Should the Commission adopt a rate stabilization plan applicable to a broader group of customers, SDG&amp;E proposes that the authority to engage in bilateral contracts have a matching allocation of benefits and costs. </w:t>
      </w:r>
    </w:p>
    <w:p>
      <w:pPr>
        <w:pStyle w:val="standard"/>
        <w:widowControl/>
        <w:rPr>
          <w:color w:val="000000"/>
          <w:sz w:val="32"/>
          <w:szCs w:val="32"/>
        </w:rPr>
      </w:pPr>
      <w:r>
        <w:rPr>
          <w:color w:val="000000"/>
        </w:rPr>
        <w:t xml:space="preserve">SDG&amp;E proposes the following approach, per D.00-08-023, to determine prospectively whether a particular purchase meets a predefined reasonableness threshold.  First, SDG&amp;E will identify for the Energy Division and ORA, ahead of time, the specific sources of prices offered in the market for energy, ancillary services and capacity products that will be used to price the bilateral transactions.  For example, SDG&amp;E could use the weekly range of prices for energy services offered in the market in the same week that SDG&amp;E procured incremental bilateral energy purchases.  These identified sources will provide a target price range for SDG&amp;E’s contracts.  Any purchases made by SDG&amp;E within this approved price range will be reasonable </w:t>
      </w:r>
      <w:r>
        <w:rPr>
          <w:i/>
          <w:iCs/>
          <w:color w:val="000000"/>
        </w:rPr>
        <w:t xml:space="preserve">per se.  </w:t>
      </w:r>
      <w:r>
        <w:rPr>
          <w:color w:val="000000"/>
        </w:rPr>
        <w:t>In addition, for any bilateral contracts entered into between SDG&amp;E and an affiliate under this procedure, SDG&amp;E requests that the Commission grant in this order a specific exemption from Affiliate Rule III B.</w:t>
      </w:r>
      <w:r>
        <w:rPr>
          <w:rStyle w:val="FootnoteCharacters"/>
          <w:rStyle w:val="FootnoteReference"/>
          <w:color w:val="000000"/>
          <w:sz w:val="24"/>
          <w:szCs w:val="24"/>
        </w:rPr>
        <w:footnoteReference w:id="3"/>
      </w:r>
    </w:p>
    <w:p>
      <w:pPr>
        <w:pStyle w:val="standard"/>
        <w:widowControl/>
        <w:rPr/>
      </w:pPr>
      <w:r>
        <w:rPr/>
        <w:t xml:space="preserve">SDG&amp;E further asks the Commission for confirmation that it is reasonable </w:t>
      </w:r>
      <w:r>
        <w:rPr>
          <w:i/>
          <w:iCs/>
        </w:rPr>
        <w:t>not</w:t>
      </w:r>
      <w:r>
        <w:rPr/>
        <w:t xml:space="preserve"> to enter into any of these products, since it is a new authority, it has heretofore not only been reasonable not to enter into them; it was required.</w:t>
      </w:r>
    </w:p>
    <w:p>
      <w:pPr>
        <w:pStyle w:val="standard"/>
        <w:widowControl/>
        <w:rPr>
          <w:color w:val="000000"/>
        </w:rPr>
      </w:pPr>
      <w:r>
        <w:rPr>
          <w:color w:val="000000"/>
        </w:rPr>
        <w:t>SDG&amp;E proposes that it retain the right to make a filing for pre-approval of individual bilateral contracts with justifying support for the contract.  This likely would apply to purchases of a large size or a long term, although within the authorized limits.  The Energy Division would have 30 days to review the proposed contracts.  If the Energy Division believes modification or rejection of the contract is required, it may place a proposal to do so on the Commission’s Agenda at the earliest possible date.  If such an item is placed on the Agenda, the contract will not be considered approved until full Commission approval is granted, or Energy Division withdraws the Agenda item.</w:t>
      </w:r>
    </w:p>
    <w:p>
      <w:pPr>
        <w:pStyle w:val="standard"/>
        <w:widowControl/>
        <w:rPr>
          <w:color w:val="000000"/>
        </w:rPr>
      </w:pPr>
      <w:r>
        <w:rPr>
          <w:color w:val="000000"/>
        </w:rPr>
        <w:t>If collateral costs are incurred by SDG&amp;E as a result of its use of the bilateral option for energy and ancillary services, these costs will also be tracked in the PECA and included in rates in Schedule PX.</w:t>
      </w:r>
    </w:p>
    <w:p>
      <w:pPr>
        <w:pStyle w:val="Heading1"/>
        <w:widowControl/>
        <w:ind w:hanging="0" w:start="0"/>
        <w:rPr/>
      </w:pPr>
      <w:r>
        <w:rPr/>
        <w:t>Discussion</w:t>
      </w:r>
    </w:p>
    <w:p>
      <w:pPr>
        <w:pStyle w:val="standard"/>
        <w:widowControl/>
        <w:rPr/>
      </w:pPr>
      <w:r>
        <w:rPr/>
        <w:t>In D.00-08-023 we discussed our rationale for granting authority to PG&amp;E and SCE to enter into bilateral contracts.  We need not repeat those arguments here.  We agree that SDG&amp;E should receive some authority to enter into bilateral contracts.  In comments on the motion, most parties reiterate their general opposition to providing bilateral contracting authority on such an accelerated basis.  Recognizing that the Commission granted authority to PG&amp;E and SCE in D.00-08-023, parties identify four general areas of concern regarding the specific authority requested by SDG&amp;E: duration of contracts, reasonableness standards, request for exemption from affiliate rules, and ratemaking.</w:t>
      </w:r>
    </w:p>
    <w:p>
      <w:pPr>
        <w:pStyle w:val="Heading2"/>
        <w:widowControl/>
        <w:rPr/>
      </w:pPr>
      <w:r>
        <w:rPr/>
        <w:t>Duration of Contracts</w:t>
      </w:r>
    </w:p>
    <w:p>
      <w:pPr>
        <w:pStyle w:val="standard"/>
        <w:widowControl/>
        <w:rPr/>
      </w:pPr>
      <w:r>
        <w:rPr/>
        <w:t>SDG&amp;E is seeking the authority to enter into bilateral contracts that expire on or before December 31, 2005.  The Commission recently instituted an investigation into the impact of the functioning of the wholesale electric market on retail rates in SDG&amp;E’s service territory.</w:t>
      </w:r>
      <w:r>
        <w:rPr>
          <w:rStyle w:val="FootnoteCharacters"/>
          <w:rStyle w:val="FootnoteReference"/>
          <w:sz w:val="24"/>
          <w:szCs w:val="24"/>
        </w:rPr>
        <w:footnoteReference w:id="4"/>
      </w:r>
      <w:r>
        <w:rPr/>
        <w:t xml:space="preserve">  Among the matters to be explored in that investigation is SDG&amp;E’s release from the role of default procurement provider.  Entering into contracts that extend to the end of 2005 creates the potential for stranded costs should SDG&amp;E be removed from that role.  The Commission should not compromise future long-term solutions by affording SDG&amp;E greater purchasing authority than is needed to address the current emergency situation.  For this reason, we limit SDG&amp;E’s authority to what we described in D.00-08-023 as near-term bilateral contracting authority, that is, contracts with delivery occurring on or before December 31, 2002.  I.00-08-002 will investigate whether longer-term contracts are consistent with SDG&amp;E’s ongoing procurement responsibilities.  This approach is consistent with comments made by City, ARM, and Shell.</w:t>
      </w:r>
    </w:p>
    <w:p>
      <w:pPr>
        <w:pStyle w:val="Heading2"/>
        <w:widowControl/>
        <w:rPr/>
      </w:pPr>
      <w:r>
        <w:rPr/>
        <w:t>Reasonableness Standards</w:t>
      </w:r>
    </w:p>
    <w:p>
      <w:pPr>
        <w:pStyle w:val="standard"/>
        <w:widowControl/>
        <w:rPr>
          <w:sz w:val="24"/>
          <w:szCs w:val="24"/>
        </w:rPr>
      </w:pPr>
      <w:r>
        <w:rPr/>
        <w:t>In approving SDG&amp;E’s request to enter into bilateral contracts, the Commission must establish clear rules regarding reasonableness standards to prevent abuse of this new authority.  As described by City, in D.00</w:t>
        <w:noBreakHyphen/>
        <w:t>08</w:t>
        <w:noBreakHyphen/>
        <w:t>023, we “adopted different reasonableness standards for PG&amp;E and Edison.  PG&amp;E’s was a ‘prospective’ approach wherein PG&amp;E will identify to the CPUC Energy Division specific sources of prices offered in the market that will be used to price bilateral transactions.  Any purchases made by PG&amp;E within this approved range ‘will be reasonable per se</w:t>
      </w:r>
      <w:r>
        <w:rPr>
          <w:i/>
          <w:iCs/>
        </w:rPr>
        <w:t>’</w:t>
      </w:r>
      <w:r>
        <w:rPr/>
        <w:t xml:space="preserve"> (citation omitted) although the Commission does not state a specific range.  For Edison, the Commission adopted a two-part review mechanism depending on contract term.  For near-term contracts (defined as power delivered through December 31, 2002), there is a reasonableness review of bilateral contract prices ‘if the average price of bilateral transactions exceeds SCE’s corresponding portfolio of transactions delivered or requiring deliver[y] over the same period.’ (Citation omitted.)  For medium-term contracts (delivery occurs after December 31, 2002), Edison would submit an Advice Letter seeking pre-approval of any contracts.  Energy Division review is to occur over a 30-day period. (Citation omitted.)” (City Response, pp. 2-3.)</w:t>
      </w:r>
    </w:p>
    <w:p>
      <w:pPr>
        <w:pStyle w:val="standard"/>
        <w:widowControl/>
        <w:rPr/>
      </w:pPr>
      <w:r>
        <w:rPr/>
        <w:t>“</w:t>
      </w:r>
      <w:r>
        <w:rPr/>
        <w:t>ORA recommends that the Commission establish a forum for addressing the development of a comprehensive method of evaluating the reasonableness of these contracts that is equitable and fair and does not create a inappropriate regulatory burden for all three California utilities.  Furthermore, ORA recommends that this forum be established as part of OII 00-08-002, the Commission’s investigation into the functioning of the wholesale electric market and associated impact on retail rates.  Absent such a forum, under SDG&amp;E’s proposal, the Commission will essentially have no basis to determine the reasonableness of any bilateral contracts.” (ORA Response, pp. 3-4.)</w:t>
      </w:r>
    </w:p>
    <w:p>
      <w:pPr>
        <w:pStyle w:val="standard"/>
        <w:widowControl/>
        <w:rPr/>
      </w:pPr>
      <w:r>
        <w:rPr/>
        <w:t>We agree that a more comprehensive framework for evaluating reasonableness is appropriate and that I.00-08-002 provides a clear forum to establish such a framework on a going forward basis.  For now, we adopt the same reasonableness standard for near-term contracts as we did for SCE.  If the average price of SDG&amp;E’s bilateral transactions, delivered or requiring delivery, over the course of an annual period exceeds the average price of SDG&amp;E’s corresponding portfolio of transactions, delivered or requiring deliver over the same period, by more than 5%, then the Commission will initiate a reasonableness review.  Reasonableness reviews, to the extent needed, will take place as part of SDG&amp;E’s Annual Transition Cost Proceeding.</w:t>
      </w:r>
    </w:p>
    <w:p>
      <w:pPr>
        <w:pStyle w:val="standard"/>
        <w:widowControl/>
        <w:rPr/>
      </w:pPr>
      <w:r>
        <w:rPr/>
        <w:t xml:space="preserve">SDG&amp;E also requests that we state in this decision that it is reasonable for them </w:t>
      </w:r>
      <w:r>
        <w:rPr>
          <w:i/>
          <w:iCs/>
        </w:rPr>
        <w:t>not</w:t>
      </w:r>
      <w:r>
        <w:rPr/>
        <w:t xml:space="preserve"> to enter into any of these bilateral products.  We will not make such a statement at this time.  Until an affirmative decision is made on the issue of the ongoing role of utilities in energy procurement, SDG&amp;E has an obligation to supply energy to its bundled service customer on just and reasonable terms.  We expect that SDG&amp;E will fulfill this obligation diligently.  I.00-08-002 will include a review of SDG&amp;E’s procurement practices, as well as an examination of reasonable and prudent strategies for minimizing the cost of providing energy to its bundled service customers for the future.  We will not prejudge at this time whether or not it is reasonable to enter into bilateral contracts.</w:t>
      </w:r>
    </w:p>
    <w:p>
      <w:pPr>
        <w:pStyle w:val="Heading2"/>
        <w:widowControl/>
        <w:rPr/>
      </w:pPr>
      <w:r>
        <w:rPr/>
        <w:t>Affiliate Rules Exemption</w:t>
      </w:r>
    </w:p>
    <w:p>
      <w:pPr>
        <w:pStyle w:val="standard"/>
        <w:widowControl/>
        <w:rPr/>
      </w:pPr>
      <w:r>
        <w:rPr/>
        <w:t>SDG&amp;E seeks the Commission’s waiver of an applicable affiliate transaction rule should SDG&amp;E decide to pursue a bilateral contract with one of its affiliates.  TURN argues that if affiliates are eligible for bilateral transactions, then at the very least, strict compliance with Rule III.B. is called for, so that there is comfort that the price paid to the affiliate is the product of an open, competitive bidding process.  TURN Response, pp. 7-8.  City and ORA agree.</w:t>
      </w:r>
    </w:p>
    <w:p>
      <w:pPr>
        <w:pStyle w:val="standard"/>
        <w:widowControl/>
        <w:rPr/>
      </w:pPr>
      <w:r>
        <w:rPr/>
        <w:t>We agree that no exemption from the affiliate rules is warranted. Consistent with D.00-08-023, within five days of the effective date of this decision, SDG&amp;E should file an advice letter to inform the Commission of any markets in which its affiliates or subsidiaries operate in which it intends to procure electricity or ancillary services.</w:t>
      </w:r>
    </w:p>
    <w:p>
      <w:pPr>
        <w:pStyle w:val="Heading2"/>
        <w:widowControl/>
        <w:rPr/>
      </w:pPr>
      <w:r>
        <w:rPr/>
        <w:t>Ratemaking</w:t>
      </w:r>
    </w:p>
    <w:p>
      <w:pPr>
        <w:pStyle w:val="standard"/>
        <w:widowControl/>
        <w:rPr/>
      </w:pPr>
      <w:r>
        <w:rPr/>
        <w:t>TURN urges the Commission to reject SDG&amp;E’s request to limit the ratemaking impacts of the bilateral contracts to its residential and small commercial customers.  TURN argues that if the Commission allows SDG&amp;E to pursue bilaterals, the potential risks and benefits should be spread among all customers.  WPTF supports this aspect of SDG&amp;E’s motion.  From a practical standpoint, it is unclear to us how the benefits of downward prices caused by bilateral contracts would not accrue to all ratepayers.  Therefore, we do not believe it prudent to limit the cost exposure for these contracts solely to residential and small commercial customers.  This aspect of SDG&amp;E’s motion is denied.</w:t>
      </w:r>
    </w:p>
    <w:p>
      <w:pPr>
        <w:pStyle w:val="Heading2"/>
        <w:widowControl/>
        <w:rPr/>
      </w:pPr>
      <w:r>
        <w:rPr/>
        <w:t>Tariff Issues</w:t>
      </w:r>
    </w:p>
    <w:p>
      <w:pPr>
        <w:pStyle w:val="standard"/>
        <w:widowControl/>
        <w:rPr/>
      </w:pPr>
      <w:r>
        <w:rPr/>
        <w:t xml:space="preserve">Based on our review of the proposed tariff revisions, it does not appear that SDG&amp;E has actually proposed a separate sub-account in the PECA to record these costs as described in the motion.  Within 5 days, SDG&amp;E should file tariffs that establish a separate memorandum account to track the costs associated with any bilateral contracts it enters into.  Because we adopt a reasonableness standard similar to that of SCE, SDG&amp;E should model its proposed tariff language after that adopted for SCE.  Costs incurred for participation in bilateral options will be recorded as set forth in the tariff.  We also approve the adjustments to Schedule PX proposed by SDG&amp;E with the exception of the cost/benefit allocation language in Special Condition 9.  SDG&amp;E should file a revised Schedule PX within five days.  To the extent that reasonableness reviews based on the standards adopted herein reveal imprudent procurement activities, rates will be subject to refund. </w:t>
      </w:r>
    </w:p>
    <w:p>
      <w:pPr>
        <w:pStyle w:val="standard"/>
        <w:widowControl/>
        <w:rPr/>
      </w:pPr>
      <w:r>
        <w:rPr/>
        <w:t>SDG&amp;E should disclose all bilateral transactions to the Energy Division on a confidential basis in a monthly report.  WPTF and ARM argue that additional transparency of bilateral transactions is required, compared to that proposed by SDG&amp;E.  We adopt consistent disclosure standards for SDG&amp;E bilateral contracts as that adopted in D.00-08-023 for PG&amp;E and SCE.  This issue may be revisited on a going forward basis in I.00-08-002.</w:t>
      </w:r>
    </w:p>
    <w:p>
      <w:pPr>
        <w:pStyle w:val="Heading1"/>
        <w:widowControl/>
        <w:ind w:hanging="0" w:start="0"/>
        <w:rPr/>
      </w:pPr>
      <w:r>
        <w:rPr/>
        <w:t>Comments on Draft Decision</w:t>
      </w:r>
    </w:p>
    <w:p>
      <w:pPr>
        <w:pStyle w:val="standard"/>
        <w:widowControl/>
        <w:rPr/>
      </w:pPr>
      <w:r>
        <w:rPr/>
        <w:t xml:space="preserve">Rule 77.7(f)(9) provides for reduction or waiver of the 30-day period for public review and comment when public necessity requires such reduction.  We must balance whether the public necessity of adopting an order outweighs the public interest in having the full 30-day period for review and comment.  We are convinced that the motion of SDG&amp;E falls under Rule 77.7(f)(9), and for that reason, we established a shortened period for comments on the draft decision.  </w:t>
      </w:r>
    </w:p>
    <w:p>
      <w:pPr>
        <w:pStyle w:val="standard"/>
        <w:widowControl/>
        <w:rPr/>
      </w:pPr>
      <w:r>
        <w:rPr/>
        <w:t>Comments were filed on _____ by ______.</w:t>
      </w:r>
    </w:p>
    <w:p>
      <w:pPr>
        <w:pStyle w:val="dummy"/>
        <w:widowControl/>
        <w:rPr/>
      </w:pPr>
      <w:r>
        <w:rPr/>
        <w:t>Findings of Fact</w:t>
      </w:r>
    </w:p>
    <w:p>
      <w:pPr>
        <w:pStyle w:val="num1"/>
        <w:widowControl/>
        <w:numPr>
          <w:ilvl w:val="0"/>
          <w:numId w:val="2"/>
        </w:numPr>
        <w:tabs>
          <w:tab w:val="clear" w:pos="-720"/>
          <w:tab w:val="left" w:pos="0" w:leader="none"/>
        </w:tabs>
        <w:ind w:firstLine="360" w:start="0"/>
        <w:rPr/>
      </w:pPr>
      <w:r>
        <w:rPr/>
        <w:t>Bilateral contracts provide additional flexibility to respond to volatile market prices.</w:t>
      </w:r>
    </w:p>
    <w:p>
      <w:pPr>
        <w:pStyle w:val="num1"/>
        <w:widowControl/>
        <w:numPr>
          <w:ilvl w:val="0"/>
          <w:numId w:val="2"/>
        </w:numPr>
        <w:tabs>
          <w:tab w:val="clear" w:pos="-720"/>
          <w:tab w:val="left" w:pos="0" w:leader="none"/>
        </w:tabs>
        <w:ind w:firstLine="360" w:start="0"/>
        <w:rPr/>
      </w:pPr>
      <w:r>
        <w:rPr/>
        <w:t>I.00-08-002 will explore SDG&amp;E’s role as default procurement provider.</w:t>
      </w:r>
    </w:p>
    <w:p>
      <w:pPr>
        <w:pStyle w:val="num1"/>
        <w:widowControl/>
        <w:numPr>
          <w:ilvl w:val="0"/>
          <w:numId w:val="2"/>
        </w:numPr>
        <w:tabs>
          <w:tab w:val="clear" w:pos="-720"/>
          <w:tab w:val="left" w:pos="0" w:leader="none"/>
        </w:tabs>
        <w:ind w:firstLine="360" w:start="0"/>
        <w:rPr/>
      </w:pPr>
      <w:r>
        <w:rPr/>
        <w:t>Entering into long-term bilateral contracts creates the potential for stranded costs should SDG&amp;E’s procurement role change.</w:t>
      </w:r>
    </w:p>
    <w:p>
      <w:pPr>
        <w:pStyle w:val="num1"/>
        <w:widowControl/>
        <w:numPr>
          <w:ilvl w:val="0"/>
          <w:numId w:val="2"/>
        </w:numPr>
        <w:tabs>
          <w:tab w:val="clear" w:pos="-720"/>
          <w:tab w:val="left" w:pos="0" w:leader="none"/>
        </w:tabs>
        <w:ind w:firstLine="360" w:start="0"/>
        <w:rPr/>
      </w:pPr>
      <w:r>
        <w:rPr/>
        <w:t>SDG&amp;E is put on notice that its purchasing decisions must meet the standards adopted herein.</w:t>
      </w:r>
    </w:p>
    <w:p>
      <w:pPr>
        <w:pStyle w:val="dummy"/>
        <w:widowControl/>
        <w:rPr/>
      </w:pPr>
      <w:r>
        <w:rPr/>
        <w:t>Conclusions of Law</w:t>
      </w:r>
    </w:p>
    <w:p>
      <w:pPr>
        <w:pStyle w:val="num1"/>
        <w:widowControl/>
        <w:numPr>
          <w:ilvl w:val="0"/>
          <w:numId w:val="2"/>
        </w:numPr>
        <w:tabs>
          <w:tab w:val="clear" w:pos="-720"/>
          <w:tab w:val="left" w:pos="0" w:leader="none"/>
        </w:tabs>
        <w:ind w:hanging="0" w:start="-90" w:end="0"/>
        <w:rPr/>
      </w:pPr>
      <w:r>
        <w:rPr/>
        <w:t>It is reasonable to authorize SDG&amp;E to enter into bilateral contracts that expire on or before December 31, 2002.</w:t>
      </w:r>
    </w:p>
    <w:p>
      <w:pPr>
        <w:pStyle w:val="num1"/>
        <w:widowControl/>
        <w:numPr>
          <w:ilvl w:val="0"/>
          <w:numId w:val="2"/>
        </w:numPr>
        <w:tabs>
          <w:tab w:val="clear" w:pos="-720"/>
          <w:tab w:val="left" w:pos="0" w:leader="none"/>
        </w:tabs>
        <w:ind w:hanging="0" w:start="-90" w:end="0"/>
        <w:rPr/>
      </w:pPr>
      <w:r>
        <w:rPr/>
        <w:t>SDG&amp;E should be limited to the purchase limits already approved for forward energy products, including capacity products.</w:t>
      </w:r>
    </w:p>
    <w:p>
      <w:pPr>
        <w:pStyle w:val="num1"/>
        <w:widowControl/>
        <w:numPr>
          <w:ilvl w:val="0"/>
          <w:numId w:val="2"/>
        </w:numPr>
        <w:tabs>
          <w:tab w:val="clear" w:pos="-720"/>
          <w:tab w:val="left" w:pos="0" w:leader="none"/>
        </w:tabs>
        <w:ind w:hanging="0" w:start="-90" w:end="0"/>
        <w:rPr/>
      </w:pPr>
      <w:r>
        <w:rPr/>
        <w:t xml:space="preserve">The Commission should continue to oversee SDG&amp;E’s procurement practices. </w:t>
      </w:r>
    </w:p>
    <w:p>
      <w:pPr>
        <w:pStyle w:val="num1"/>
        <w:widowControl/>
        <w:numPr>
          <w:ilvl w:val="0"/>
          <w:numId w:val="2"/>
        </w:numPr>
        <w:tabs>
          <w:tab w:val="clear" w:pos="-720"/>
          <w:tab w:val="left" w:pos="0" w:leader="none"/>
        </w:tabs>
        <w:ind w:hanging="0" w:start="-90" w:end="0"/>
        <w:rPr/>
      </w:pPr>
      <w:r>
        <w:rPr/>
        <w:t>If the average price of SDG&amp;E’s bilateral transactions, delivered or requiring delivery, over the course of an annual period exceeds the average price of SDG&amp;E’s corresponding portfolio of transactions, delivered or requiring deliver over the same period, by more than 5%, then the Commission should initiate a reasonableness review.  Reasonableness reviews, to the extent needed, should take place as part of SDG&amp;E’s Annual Transition Cost Proceeding.</w:t>
      </w:r>
    </w:p>
    <w:p>
      <w:pPr>
        <w:pStyle w:val="num1"/>
        <w:widowControl/>
        <w:numPr>
          <w:ilvl w:val="0"/>
          <w:numId w:val="2"/>
        </w:numPr>
        <w:tabs>
          <w:tab w:val="clear" w:pos="-720"/>
          <w:tab w:val="left" w:pos="0" w:leader="none"/>
        </w:tabs>
        <w:ind w:hanging="0" w:start="-90" w:end="0"/>
        <w:rPr/>
      </w:pPr>
      <w:r>
        <w:rPr/>
        <w:t>SDG&amp;E’s request for an exemption from Affiliate Rule III B should be denied.</w:t>
      </w:r>
    </w:p>
    <w:p>
      <w:pPr>
        <w:pStyle w:val="num1"/>
        <w:widowControl/>
        <w:numPr>
          <w:ilvl w:val="0"/>
          <w:numId w:val="2"/>
        </w:numPr>
        <w:tabs>
          <w:tab w:val="clear" w:pos="-720"/>
          <w:tab w:val="left" w:pos="0" w:leader="none"/>
        </w:tabs>
        <w:ind w:hanging="0" w:start="-90" w:end="0"/>
        <w:rPr/>
      </w:pPr>
      <w:r>
        <w:rPr/>
        <w:t>SDG&amp;E should disclose all bilateral transactions to the Energy Division on a confidential basis in a monthly report.</w:t>
      </w:r>
    </w:p>
    <w:p>
      <w:pPr>
        <w:pStyle w:val="num1"/>
        <w:widowControl/>
        <w:numPr>
          <w:ilvl w:val="0"/>
          <w:numId w:val="2"/>
        </w:numPr>
        <w:tabs>
          <w:tab w:val="clear" w:pos="-720"/>
          <w:tab w:val="left" w:pos="0" w:leader="none"/>
        </w:tabs>
        <w:ind w:hanging="0" w:start="-90" w:end="0"/>
        <w:rPr/>
      </w:pPr>
      <w:r>
        <w:rPr/>
        <w:t>It is reasonable to approve a Near-Term Bilateral Contract Memorandum Account for SDG&amp;E.  Costs incurred for participation in bilateral contracts will be recorded in this account.  SDG&amp;E should file an Advice Letter to establish this memorandum account.</w:t>
      </w:r>
    </w:p>
    <w:p>
      <w:pPr>
        <w:pStyle w:val="num1"/>
        <w:widowControl/>
        <w:numPr>
          <w:ilvl w:val="0"/>
          <w:numId w:val="2"/>
        </w:numPr>
        <w:tabs>
          <w:tab w:val="clear" w:pos="-720"/>
          <w:tab w:val="left" w:pos="0" w:leader="none"/>
        </w:tabs>
        <w:ind w:hanging="0" w:start="-90" w:end="0"/>
        <w:rPr/>
      </w:pPr>
      <w:r>
        <w:rPr/>
        <w:t>We should adopt the adjustments to Schedule PX as set forth in the proposed tariffs excluding Special Condition 9.  SDG&amp;E should file an Advice Letter to revise Schedule PX.</w:t>
      </w:r>
    </w:p>
    <w:p>
      <w:pPr>
        <w:pStyle w:val="num1"/>
        <w:widowControl/>
        <w:numPr>
          <w:ilvl w:val="0"/>
          <w:numId w:val="2"/>
        </w:numPr>
        <w:tabs>
          <w:tab w:val="clear" w:pos="-720"/>
          <w:tab w:val="left" w:pos="0" w:leader="none"/>
        </w:tabs>
        <w:ind w:firstLine="360" w:start="0"/>
        <w:rPr/>
      </w:pPr>
      <w:r>
        <w:rPr/>
        <w:t>To the extent that reasonableness reviews reveal imprudent procurement activities, rates should be subject to refund.</w:t>
      </w:r>
    </w:p>
    <w:p>
      <w:pPr>
        <w:pStyle w:val="num2"/>
        <w:widowControl/>
        <w:numPr>
          <w:ilvl w:val="0"/>
          <w:numId w:val="2"/>
        </w:numPr>
        <w:tabs>
          <w:tab w:val="clear" w:pos="-720"/>
          <w:tab w:val="left" w:pos="0" w:leader="none"/>
        </w:tabs>
        <w:ind w:firstLine="270" w:start="0"/>
        <w:rPr/>
      </w:pPr>
      <w:r>
        <w:rPr/>
        <w:t>Pursuant to Rule 77.7(f)(9), public necessity requires a shortened public review and comment period.</w:t>
      </w:r>
    </w:p>
    <w:p>
      <w:pPr>
        <w:pStyle w:val="Normal"/>
        <w:widowControl/>
        <w:spacing w:lineRule="auto" w:line="360"/>
        <w:rPr/>
      </w:pPr>
      <w:r>
        <w:rPr/>
      </w:r>
    </w:p>
    <w:p>
      <w:pPr>
        <w:pStyle w:val="mainex"/>
        <w:widowControl/>
        <w:rPr/>
      </w:pPr>
      <w:r>
        <w:rPr/>
        <w:t>ORDER</w:t>
      </w:r>
    </w:p>
    <w:p>
      <w:pPr>
        <w:pStyle w:val="Header"/>
        <w:keepNext w:val="true"/>
        <w:widowControl/>
        <w:tabs>
          <w:tab w:val="clear" w:pos="4320"/>
          <w:tab w:val="clear" w:pos="8640"/>
        </w:tabs>
        <w:rPr/>
      </w:pPr>
      <w:r>
        <w:rPr/>
      </w:r>
    </w:p>
    <w:p>
      <w:pPr>
        <w:pStyle w:val="standard"/>
        <w:keepNext w:val="true"/>
        <w:widowControl/>
        <w:rPr/>
      </w:pPr>
      <w:r>
        <w:rPr/>
        <w:t>Therefore,</w:t>
      </w:r>
      <w:r>
        <w:rPr>
          <w:b/>
          <w:bCs/>
        </w:rPr>
        <w:t xml:space="preserve"> IT IS ORDERED</w:t>
      </w:r>
      <w:r>
        <w:rPr/>
        <w:t xml:space="preserve"> that:</w:t>
      </w:r>
    </w:p>
    <w:p>
      <w:pPr>
        <w:pStyle w:val="num1"/>
        <w:widowControl/>
        <w:numPr>
          <w:ilvl w:val="0"/>
          <w:numId w:val="2"/>
        </w:numPr>
        <w:tabs>
          <w:tab w:val="clear" w:pos="-720"/>
          <w:tab w:val="left" w:pos="0" w:leader="none"/>
        </w:tabs>
        <w:ind w:firstLine="360" w:start="0"/>
        <w:rPr/>
      </w:pPr>
      <w:r>
        <w:rPr/>
        <w:t>The Emergency Motion of San Diego Gas &amp; Electric Company (SDG&amp;E) is granted as modified herein.</w:t>
      </w:r>
    </w:p>
    <w:p>
      <w:pPr>
        <w:pStyle w:val="num1"/>
        <w:widowControl/>
        <w:numPr>
          <w:ilvl w:val="0"/>
          <w:numId w:val="2"/>
        </w:numPr>
        <w:tabs>
          <w:tab w:val="clear" w:pos="-720"/>
          <w:tab w:val="left" w:pos="0" w:leader="none"/>
        </w:tabs>
        <w:ind w:firstLine="360" w:start="0"/>
        <w:rPr/>
      </w:pPr>
      <w:r>
        <w:rPr/>
        <w:t xml:space="preserve">SDG&amp;E is authorized to enter into bilateral contracts that expire on or before December 31, 2002.  We shall hold SDG&amp;E to the purchase limits already approved for forward energy products, including capacity products. </w:t>
      </w:r>
    </w:p>
    <w:p>
      <w:pPr>
        <w:pStyle w:val="num1"/>
        <w:widowControl/>
        <w:numPr>
          <w:ilvl w:val="0"/>
          <w:numId w:val="2"/>
        </w:numPr>
        <w:tabs>
          <w:tab w:val="clear" w:pos="-720"/>
          <w:tab w:val="left" w:pos="0" w:leader="none"/>
        </w:tabs>
        <w:ind w:firstLine="360" w:start="0"/>
        <w:rPr/>
      </w:pPr>
      <w:r>
        <w:rPr/>
        <w:t>Reasonableness reviews shall be conducted consistent with the standards described herein.</w:t>
      </w:r>
    </w:p>
    <w:p>
      <w:pPr>
        <w:pStyle w:val="num1"/>
        <w:widowControl/>
        <w:numPr>
          <w:ilvl w:val="0"/>
          <w:numId w:val="2"/>
        </w:numPr>
        <w:tabs>
          <w:tab w:val="clear" w:pos="-720"/>
          <w:tab w:val="left" w:pos="0" w:leader="none"/>
        </w:tabs>
        <w:ind w:firstLine="360" w:start="0"/>
        <w:rPr/>
      </w:pPr>
      <w:r>
        <w:rPr/>
        <w:t>To the extent that reasonableness reviews reveal imprudent procurement activities, rates are subject to refund.</w:t>
      </w:r>
    </w:p>
    <w:p>
      <w:pPr>
        <w:pStyle w:val="num1"/>
        <w:widowControl/>
        <w:numPr>
          <w:ilvl w:val="0"/>
          <w:numId w:val="2"/>
        </w:numPr>
        <w:tabs>
          <w:tab w:val="clear" w:pos="-720"/>
          <w:tab w:val="left" w:pos="0" w:leader="none"/>
        </w:tabs>
        <w:ind w:firstLine="360" w:start="0"/>
        <w:rPr/>
      </w:pPr>
      <w:r>
        <w:rPr/>
        <w:t>Within five days of the effective date of this decision, SDG&amp;E shall file and serve a compliance advice letter to establish a Near-Term Bilateral Contract Memorandum Account consistent with this decision.  Costs incurred for participation in the bilateral options shall be recorded in these accounts.  The advice letter shall be effective on filing subject to Energy Division determining that it is in compliance with this Order.</w:t>
      </w:r>
    </w:p>
    <w:p>
      <w:pPr>
        <w:pStyle w:val="num1"/>
        <w:widowControl/>
        <w:numPr>
          <w:ilvl w:val="0"/>
          <w:numId w:val="2"/>
        </w:numPr>
        <w:tabs>
          <w:tab w:val="clear" w:pos="-720"/>
          <w:tab w:val="left" w:pos="0" w:leader="none"/>
        </w:tabs>
        <w:ind w:firstLine="360" w:start="0"/>
        <w:rPr/>
      </w:pPr>
      <w:r>
        <w:rPr/>
        <w:t xml:space="preserve">Within five days of the effective date of this decision SDG&amp;E shall file and serve a compliance advice letter to revise Schedule PX, consistent with this decision.  The advice letter shall be effective on filing subject to Energy Division determining that it is in compliance with this Order. </w:t>
      </w:r>
    </w:p>
    <w:p>
      <w:pPr>
        <w:pStyle w:val="num1"/>
        <w:widowControl/>
        <w:numPr>
          <w:ilvl w:val="0"/>
          <w:numId w:val="2"/>
        </w:numPr>
        <w:tabs>
          <w:tab w:val="clear" w:pos="-720"/>
          <w:tab w:val="left" w:pos="0" w:leader="none"/>
        </w:tabs>
        <w:ind w:firstLine="360" w:start="0"/>
        <w:rPr/>
      </w:pPr>
      <w:r>
        <w:rPr/>
        <w:t xml:space="preserve">SDG&amp;E shall disclose all bilateral transactions to the Energy Division on a confidential basis in a monthly report.  The Energy Division shall monitor SDG&amp;E’s purchasing practices and report to the Commission on a quarterly basis. </w:t>
      </w:r>
    </w:p>
    <w:p>
      <w:pPr>
        <w:pStyle w:val="num1"/>
        <w:widowControl/>
        <w:numPr>
          <w:ilvl w:val="0"/>
          <w:numId w:val="2"/>
        </w:numPr>
        <w:tabs>
          <w:tab w:val="clear" w:pos="-720"/>
          <w:tab w:val="left" w:pos="0" w:leader="none"/>
        </w:tabs>
        <w:ind w:firstLine="360" w:start="0"/>
        <w:rPr/>
      </w:pPr>
      <w:r>
        <w:rPr/>
        <w:t>Within five days of the effective date of this decision, SDG&amp;E shall file and serve a compliance advice letter to inform the Commission of any markets in which its affiliates or subsidiaries operate and in which it intends to procure electricity or ancillary services.</w:t>
      </w:r>
      <w:r>
        <w:br w:type="page"/>
      </w:r>
    </w:p>
    <w:p>
      <w:pPr>
        <w:pStyle w:val="num1"/>
        <w:widowControl/>
        <w:numPr>
          <w:ilvl w:val="0"/>
          <w:numId w:val="2"/>
        </w:numPr>
        <w:tabs>
          <w:tab w:val="clear" w:pos="-720"/>
          <w:tab w:val="left" w:pos="0" w:leader="none"/>
        </w:tabs>
        <w:ind w:firstLine="360" w:start="0"/>
        <w:rPr/>
      </w:pPr>
      <w:r>
        <w:rPr/>
        <w:t>The Executive Director shall serve this decision on parties of record in A.99-01-016 et al.</w:t>
      </w:r>
    </w:p>
    <w:p>
      <w:pPr>
        <w:pStyle w:val="standard"/>
        <w:widowControl/>
        <w:rPr/>
      </w:pPr>
      <w:r>
        <w:rPr/>
        <w:t>This order is effective today.</w:t>
      </w:r>
    </w:p>
    <w:p>
      <w:pPr>
        <w:pStyle w:val="standard"/>
        <w:widowControl/>
        <w:rPr/>
      </w:pPr>
      <w:r>
        <w:rPr/>
        <w:t xml:space="preserve">Dated </w:t>
      </w:r>
      <w:r>
        <w:rPr>
          <w:u w:val="single"/>
        </w:rPr>
        <w:tab/>
        <w:tab/>
        <w:tab/>
        <w:tab/>
        <w:tab/>
      </w:r>
      <w:r>
        <w:rPr/>
        <w:t>, at San Francisco, California.</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1"/>
    <w:family w:val="roman"/>
    <w:pitch w:val="default"/>
  </w:font>
  <w:font w:name="Helvetica">
    <w:altName w:val="Arial"/>
    <w:charset w:val="01"/>
    <w:family w:val="swiss"/>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 xml:space="preserv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12</w:t>
    </w:r>
    <w:r>
      <w:rPr>
        <w:rStyle w:val="PageNumber"/>
        <w:sz w:val="26"/>
        <w:szCs w:val="26"/>
      </w:rPr>
      <w:fldChar w:fldCharType="end"/>
    </w:r>
    <w:r>
      <w:rPr>
        <w:rStyle w:val="PageNumber"/>
        <w:sz w:val="26"/>
        <w:szCs w:val="2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8640" w:leader="none"/>
      </w:tabs>
      <w:jc w:val="start"/>
      <w:rPr/>
    </w:pPr>
    <w:r>
      <w:rPr>
        <w:sz w:val="16"/>
        <w:szCs w:val="16"/>
      </w:rPr>
      <w:t>77971</w:t>
    </w:r>
    <w:r>
      <w:rPr/>
      <w:tab/>
      <w:t xml:space="preserv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1</w:t>
    </w:r>
    <w:r>
      <w:rPr>
        <w:rStyle w:val="PageNumber"/>
        <w:sz w:val="26"/>
        <w:szCs w:val="26"/>
      </w:rPr>
      <w:fldChar w:fldCharType="end"/>
    </w:r>
    <w:r>
      <w:rPr>
        <w:rStyle w:val="PageNumber"/>
        <w:sz w:val="26"/>
        <w:szCs w:val="26"/>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before="0" w:after="240"/>
        <w:rPr/>
      </w:pPr>
      <w:r>
        <w:rPr>
          <w:rStyle w:val="FootnoteCharacters"/>
        </w:rPr>
        <w:footnoteRef/>
      </w:r>
      <w:r>
        <w:rPr/>
        <w:t xml:space="preserve"> </w:t>
      </w:r>
      <w:r>
        <w:rPr/>
        <w:t>On August 17, 2000, City filed a petition to intervene in this proceeding.  The petition is granted and City is granted interested party status.</w:t>
      </w:r>
    </w:p>
  </w:footnote>
  <w:footnote w:id="3">
    <w:p>
      <w:pPr>
        <w:pStyle w:val="FootnoteText"/>
        <w:widowControl/>
        <w:spacing w:before="0" w:after="240"/>
        <w:rPr/>
      </w:pPr>
      <w:r>
        <w:rPr>
          <w:rStyle w:val="FootnoteCharacters"/>
        </w:rPr>
        <w:footnoteRef/>
      </w:r>
      <w:r>
        <w:rPr/>
        <w:t xml:space="preserve"> </w:t>
      </w:r>
      <w:r>
        <w:rPr/>
        <w:t>Rule III B provides:  Transactions between a utility and its affiliates shall be limited to tariffed products and services, the sale or purchase of goods, property, products or services made generally available by the utility or affiliate to all market participants through an open, competitive bidding process, or as provided for in Sections V D and V E (joint purchases and corporate support) and Section VII (new products and services) below, provided the transactions provided for in Section VII comply with all of the other adopted Rules.</w:t>
      </w:r>
    </w:p>
  </w:footnote>
  <w:footnote w:id="4">
    <w:p>
      <w:pPr>
        <w:pStyle w:val="FootnoteText"/>
        <w:widowControl/>
        <w:spacing w:before="0" w:after="240"/>
        <w:rPr/>
      </w:pPr>
      <w:r>
        <w:rPr>
          <w:rStyle w:val="FootnoteCharacters"/>
        </w:rPr>
        <w:footnoteRef/>
      </w:r>
      <w:r>
        <w:rPr/>
        <w:t xml:space="preserve"> “</w:t>
      </w:r>
      <w:r>
        <w:rPr/>
        <w:t>Order Instituting Investigation into the Functioning of the Wholesale Electric Market and Associated Impact on Retail Electric Rates in the Service Territory of San Diego Gas &amp; Electric Company,” I.00-08-002 (August 3,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R.94-04-031, I.94-04-032  ALJ/MLC/eap</w:t>
      <w:tab/>
    </w:r>
    <w:r>
      <w:rPr>
        <w:rFonts w:eastAsia="Helvetica;Arial" w:cs="Helvetica;Arial" w:ascii="Helvetica;Arial" w:hAnsi="Helvetica;Arial"/>
        <w:b/>
        <w:bCs/>
        <w:sz w:val="36"/>
        <w:szCs w:val="36"/>
      </w:rPr>
      <w:t>DRAFT</w:t>
    </w:r>
  </w:p>
  <w:p>
    <w:pPr>
      <w:pStyle w:val="Header"/>
      <w:rPr>
        <w:rFonts w:ascii="Helvetica;Arial" w:hAnsi="Helvetica;Arial" w:eastAsia="Helvetica;Arial" w:cs="Helvetica;Arial"/>
        <w:b/>
        <w:bCs/>
        <w:sz w:val="36"/>
        <w:szCs w:val="36"/>
      </w:rPr>
    </w:pPr>
    <w:r>
      <w:rPr>
        <w:rFonts w:eastAsia="Helvetica;Arial" w:cs="Helvetica;Arial" w:ascii="Helvetica;Arial" w:hAnsi="Helvetica;Arial"/>
        <w:b/>
        <w:bCs/>
        <w:sz w:val="36"/>
        <w:szCs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PALATINO;Book Antiqua" w:hAnsi="PALATINO;Book Antiqua" w:eastAsia="PALATINO;Book Antiqua" w:cs="PALATINO;Book Antiqua"/>
      <w:color w:val="auto"/>
      <w:sz w:val="26"/>
      <w:szCs w:val="26"/>
      <w:lang w:val="en-US" w:eastAsia="zh-CN" w:bidi="hi-IN"/>
    </w:rPr>
  </w:style>
  <w:style w:type="paragraph" w:styleId="Heading1">
    <w:name w:val="heading 1"/>
    <w:basedOn w:val="Normal"/>
    <w:next w:val="standard"/>
    <w:qFormat/>
    <w:pPr>
      <w:keepNext w:val="true"/>
      <w:numPr>
        <w:ilvl w:val="0"/>
        <w:numId w:val="1"/>
      </w:numPr>
      <w:spacing w:before="120" w:after="120"/>
      <w:outlineLvl w:val="0"/>
    </w:pPr>
    <w:rPr>
      <w:rFonts w:ascii="Helvetica;Arial" w:hAnsi="Helvetica;Arial" w:eastAsia="Helvetica;Arial" w:cs="Helvetica;Arial"/>
      <w:b/>
      <w:bCs/>
      <w:kern w:val="2"/>
    </w:rPr>
  </w:style>
  <w:style w:type="paragraph" w:styleId="Heading2">
    <w:name w:val="heading 2"/>
    <w:basedOn w:val="Normal"/>
    <w:next w:val="sub1"/>
    <w:qFormat/>
    <w:pPr>
      <w:keepNext w:val="true"/>
      <w:numPr>
        <w:ilvl w:val="1"/>
        <w:numId w:val="1"/>
      </w:numPr>
      <w:spacing w:before="120" w:after="120"/>
      <w:ind w:firstLine="720" w:start="0" w:end="0"/>
      <w:outlineLvl w:val="1"/>
    </w:pPr>
    <w:rPr>
      <w:rFonts w:ascii="Helvetica;Arial" w:hAnsi="Helvetica;Arial" w:eastAsia="Helvetica;Arial" w:cs="Helvetica;Arial"/>
      <w:b/>
      <w:bCs/>
      <w:i/>
      <w:iCs/>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eastAsia="Helvetica;Arial" w:cs="Helvetica;Arial"/>
      <w:b/>
      <w:bCs/>
    </w:rPr>
  </w:style>
  <w:style w:type="paragraph" w:styleId="Heading4">
    <w:name w:val="heading 4"/>
    <w:basedOn w:val="Normal"/>
    <w:next w:val="sub3"/>
    <w:qFormat/>
    <w:pPr>
      <w:keepNext w:val="true"/>
      <w:numPr>
        <w:ilvl w:val="3"/>
        <w:numId w:val="1"/>
      </w:numPr>
      <w:spacing w:before="120" w:after="120"/>
      <w:ind w:firstLine="2880" w:start="0" w:end="0"/>
      <w:outlineLvl w:val="3"/>
    </w:pPr>
    <w:rPr>
      <w:rFonts w:ascii="Helvetica;Arial" w:hAnsi="Helvetica;Arial" w:eastAsia="Helvetica;Arial" w:cs="Helvetica;Arial"/>
      <w:b/>
      <w:bCs/>
      <w:i/>
      <w:iCs/>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eastAsia="Helvetica;Arial" w:cs="Helvetica;Arial"/>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0"/>
      <w:szCs w:val="2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eastAsia="Arial" w:cs="Arial"/>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szCs w:val="24"/>
    </w:rPr>
  </w:style>
  <w:style w:type="paragraph" w:styleId="standard">
    <w:name w:val="standard"/>
    <w:basedOn w:val="Normal"/>
    <w:qFormat/>
    <w:pPr>
      <w:spacing w:lineRule="auto" w:line="360"/>
      <w:ind w:firstLine="720" w:start="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2"/>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3"/>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eastAsia="Helvetica;Arial" w:cs="Helvetica;Arial"/>
      <w:b/>
      <w:bCs/>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44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ind w:firstLine="3600" w:start="0" w:end="0"/>
    </w:pPr>
    <w:rPr/>
  </w:style>
  <w:style w:type="paragraph" w:styleId="dummy">
    <w:name w:val="dummy"/>
    <w:basedOn w:val="Heading1"/>
    <w:qFormat/>
    <w:pPr>
      <w:numPr>
        <w:ilvl w:val="0"/>
        <w:numId w:val="0"/>
      </w:numPr>
      <w:outlineLvl w:val="9"/>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2000-08-25T21:54:00Z</dcterms:created>
  <dc:creator>Erlinda Pulmano</dc:creator>
  <dc:description/>
  <dc:language>en-CA</dc:language>
  <cp:lastModifiedBy>Arter &amp; Hadden</cp:lastModifiedBy>
  <cp:lastPrinted>2000-08-25T13:48:00Z</cp:lastPrinted>
  <dcterms:modified xsi:type="dcterms:W3CDTF">2000-08-25T21:54:00Z</dcterms:modified>
  <cp:revision>2</cp:revision>
  <dc:subject/>
  <dc:title>Decision ___</dc:title>
</cp:coreProperties>
</file>