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BodyText"/>
        <w:ind w:hanging="1440" w:start="1440" w:end="0"/>
        <w:rPr/>
      </w:pPr>
      <w:r>
        <w:rPr>
          <w:rFonts w:cs="Times New Roman" w:ascii="Times New Roman" w:hAnsi="Times New Roman"/>
          <w:b/>
        </w:rPr>
        <w:t>Q.1  Pg. 1:</w:t>
        <w:tab/>
      </w:r>
      <w:r>
        <w:rPr>
          <w:rFonts w:cs="Times New Roman" w:ascii="Times New Roman" w:hAnsi="Times New Roman"/>
        </w:rPr>
        <w:t>Please provide a schedule (timeline) for all of the various changes discussed in the Settlement.</w:t>
      </w:r>
    </w:p>
    <w:p>
      <w:pPr>
        <w:pStyle w:val="BodyText"/>
        <w:ind w:hanging="1440" w:start="1440" w:end="0"/>
        <w:rPr>
          <w:rFonts w:ascii="Times New Roman" w:hAnsi="Times New Roman" w:cs="Times New Roman"/>
        </w:rPr>
      </w:pPr>
      <w:r>
        <w:rPr>
          <w:rFonts w:cs="Times New Roman" w:ascii="Times New Roman" w:hAnsi="Times New Roman"/>
        </w:rPr>
      </w:r>
    </w:p>
    <w:p>
      <w:pPr>
        <w:pStyle w:val="BodyText"/>
        <w:ind w:hanging="1440" w:start="1440" w:end="0"/>
        <w:rPr/>
      </w:pPr>
      <w:r>
        <w:rPr>
          <w:rFonts w:cs="Times New Roman" w:ascii="Times New Roman" w:hAnsi="Times New Roman"/>
          <w:b/>
        </w:rPr>
        <w:t>R.1  Pg. 1:</w:t>
        <w:tab/>
      </w:r>
      <w:r>
        <w:rPr>
          <w:rFonts w:cs="Times New Roman" w:ascii="Times New Roman" w:hAnsi="Times New Roman"/>
        </w:rPr>
        <w:t>The following represents the schedule for the retail portion of the Comprehensive Settlement:</w:t>
      </w:r>
    </w:p>
    <w:p>
      <w:pPr>
        <w:pStyle w:val="BodyText"/>
        <w:ind w:hanging="1440" w:start="1440" w:end="0"/>
        <w:rPr>
          <w:rFonts w:ascii="Times New Roman" w:hAnsi="Times New Roman" w:cs="Times New Roman"/>
        </w:rPr>
      </w:pPr>
      <w:r>
        <w:rPr>
          <w:rFonts w:cs="Times New Roman" w:ascii="Times New Roman" w:hAnsi="Times New Roman"/>
        </w:rPr>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Customer Information Data Access workshops are scheduled to begin on June 14, 2000.</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Utility consolidated billing service offering will start when computer programming is completed.  Estimated start is July, 2001.</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Settlement billing credits will start when computer programming is completed. Estimated termination date is upon adoption of New Credits.</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New billing credits will begin the later of Commission approval of this Settlement or January 1, 2003, based on a filing in the first quarter, 2002.</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The effective date for Core procurement re-examination will be the following:  settlement filed 3 months after the Commission approval of this Settlement; or the application is filed 6 months after Commission approval of this Settlement.</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The termination date of Core subscription will be April 1, 2001.  Based upon Commission approval of this Settlement, all new contracts’ terms to no later than July 31, 2001.</w:t>
      </w:r>
    </w:p>
    <w:p>
      <w:pPr>
        <w:pStyle w:val="BodyText"/>
        <w:numPr>
          <w:ilvl w:val="0"/>
          <w:numId w:val="2"/>
        </w:numPr>
        <w:tabs>
          <w:tab w:val="clear" w:pos="720"/>
          <w:tab w:val="left" w:pos="1800" w:leader="none"/>
          <w:tab w:val="left" w:pos="2700" w:leader="none"/>
        </w:tabs>
        <w:ind w:hanging="360" w:start="1800" w:end="0"/>
        <w:rPr>
          <w:rFonts w:ascii="Times New Roman" w:hAnsi="Times New Roman" w:cs="Times New Roman"/>
        </w:rPr>
      </w:pPr>
      <w:r>
        <w:rPr>
          <w:rFonts w:cs="Times New Roman" w:ascii="Times New Roman" w:hAnsi="Times New Roman"/>
        </w:rPr>
        <w:t>The termination date of Meter ownership/Add-on device pilot program report will be December 31, 2002.  The Joint evaluation is due July 1, 2002.</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ind w:hanging="1440" w:start="1440" w:end="0"/>
        <w:rPr/>
      </w:pPr>
      <w:r>
        <w:rPr>
          <w:rFonts w:cs="Times New Roman" w:ascii="Times New Roman" w:hAnsi="Times New Roman"/>
          <w:b/>
        </w:rPr>
        <w:t>Q.2  Pg. 1:</w:t>
        <w:tab/>
      </w:r>
      <w:r>
        <w:rPr>
          <w:rFonts w:cs="Times New Roman" w:ascii="Times New Roman" w:hAnsi="Times New Roman"/>
        </w:rPr>
        <w:t>List all of the fees and potential penalties/noncompliance charges described by the Agreement.  For each case explain which customers these fees and penalties/charges would be collected from and how they would be allocated.</w:t>
      </w:r>
    </w:p>
    <w:p>
      <w:pPr>
        <w:pStyle w:val="BodyText"/>
        <w:rPr>
          <w:rFonts w:ascii="Times New Roman" w:hAnsi="Times New Roman" w:cs="Times New Roman"/>
        </w:rPr>
      </w:pPr>
      <w:r>
        <w:rPr>
          <w:rFonts w:cs="Times New Roman" w:ascii="Times New Roman" w:hAnsi="Times New Roman"/>
        </w:rPr>
      </w:r>
    </w:p>
    <w:p>
      <w:pPr>
        <w:pStyle w:val="BodyText"/>
        <w:ind w:hanging="1440" w:start="1440" w:end="0"/>
        <w:rPr/>
      </w:pPr>
      <w:r>
        <w:rPr>
          <w:rFonts w:cs="Times New Roman" w:ascii="Times New Roman" w:hAnsi="Times New Roman"/>
          <w:b/>
        </w:rPr>
        <w:t>R.2  Pg. 1:</w:t>
        <w:tab/>
      </w:r>
      <w:r>
        <w:rPr>
          <w:rFonts w:cs="Times New Roman" w:ascii="Times New Roman" w:hAnsi="Times New Roman"/>
        </w:rPr>
        <w:t>The Comprehensive Settlement Agreement includes no specific fees related to retail issues.  Fees will be developed and discussed with various parties and proposed to the Commission at a later date.  Currently there are fees that have been presented to the Commission as part of the EIR and will be paid by the electric utilities, but not in support of GIR.</w:t>
      </w:r>
    </w:p>
    <w:p>
      <w:pPr>
        <w:pStyle w:val="BodyText"/>
        <w:ind w:hanging="900" w:start="900" w:end="0"/>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24"/>
        </w:rPr>
      </w:pPr>
      <w:r>
        <w:rPr>
          <w:rFonts w:cs="Times New Roman"/>
          <w:b/>
          <w:sz w:val="24"/>
        </w:rPr>
      </w:r>
    </w:p>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Normal"/>
        <w:rPr/>
      </w:pPr>
      <w:r>
        <w:rPr>
          <w:b/>
          <w:sz w:val="24"/>
        </w:rPr>
        <w:t>Q.3.  Pg. 1:</w:t>
        <w:tab/>
      </w:r>
      <w:r>
        <w:rPr>
          <w:sz w:val="24"/>
        </w:rPr>
        <w:t>List the changes on the SDG&amp;E system associated with this Agreement.</w:t>
      </w:r>
    </w:p>
    <w:p>
      <w:pPr>
        <w:pStyle w:val="BodyText"/>
        <w:rPr>
          <w:rFonts w:ascii="Times New Roman" w:hAnsi="Times New Roman" w:cs="Times New Roman"/>
          <w:sz w:val="24"/>
        </w:rPr>
      </w:pPr>
      <w:r>
        <w:rPr>
          <w:rFonts w:cs="Times New Roman" w:ascii="Times New Roman" w:hAnsi="Times New Roman"/>
          <w:sz w:val="24"/>
        </w:rPr>
      </w:r>
    </w:p>
    <w:p>
      <w:pPr>
        <w:pStyle w:val="BodyText"/>
        <w:ind w:hanging="1440" w:start="1440" w:end="0"/>
        <w:rPr/>
      </w:pPr>
      <w:r>
        <w:rPr>
          <w:rFonts w:cs="Times New Roman" w:ascii="Times New Roman" w:hAnsi="Times New Roman"/>
          <w:b/>
        </w:rPr>
        <w:t>R.3.  Pg.  1:</w:t>
        <w:tab/>
      </w:r>
      <w:r>
        <w:rPr>
          <w:rFonts w:cs="Times New Roman" w:ascii="Times New Roman" w:hAnsi="Times New Roman"/>
        </w:rPr>
        <w:t>The Comprehensive Settlement’s capacity and retail proposals will impact SDG&amp;E as follows:</w:t>
      </w:r>
    </w:p>
    <w:p>
      <w:pPr>
        <w:pStyle w:val="BodyText"/>
        <w:rPr>
          <w:rFonts w:ascii="Times New Roman" w:hAnsi="Times New Roman" w:cs="Times New Roman"/>
        </w:rPr>
      </w:pPr>
      <w:r>
        <w:rPr>
          <w:rFonts w:cs="Times New Roman" w:ascii="Times New Roman" w:hAnsi="Times New Roman"/>
        </w:rPr>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SDG&amp;E’s brokerage fee is increased to $.024 /dth from $.0095.</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Storage is unbundled for CTAs.</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SDG&amp;E exits noncore procurement including core subscription.</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The minimum core aggregation threshhold is reduced from 250,000 therms/year to 120,000 therms/year.</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The 10% cap on core aggregation participation is eliminated.</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The view-only bill is eliminated for the ESP consolidated billing option.</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A credit for the ESP consolidated billing option is established.</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A UDC consolidated billing option is established for core aggregation.</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Balancing for CTAs based on a forecast will be initiated.</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SDG&amp;E will no longer bundle storage in any service offered to customers other than core utility procurement customers.</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Beginning October 1, 2001 SDG&amp;E will not offer transportation only customers a bundled transportation service which includes SoCalGas backbone transmission.</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Improvement of electronic data transfer of information to Energy Service Providers  (6.1 Provide Real-time, Customer-Specific Data)</w:t>
      </w:r>
    </w:p>
    <w:p>
      <w:pPr>
        <w:pStyle w:val="BodyText"/>
        <w:numPr>
          <w:ilvl w:val="0"/>
          <w:numId w:val="4"/>
        </w:numPr>
        <w:tabs>
          <w:tab w:val="clear" w:pos="720"/>
          <w:tab w:val="left" w:pos="1872" w:leader="none"/>
        </w:tabs>
        <w:ind w:hanging="576" w:start="1872" w:end="0"/>
        <w:rPr>
          <w:rFonts w:ascii="Times New Roman" w:hAnsi="Times New Roman" w:cs="Times New Roman"/>
        </w:rPr>
      </w:pPr>
      <w:r>
        <w:rPr>
          <w:rFonts w:cs="Times New Roman" w:ascii="Times New Roman" w:hAnsi="Times New Roman"/>
        </w:rPr>
        <w:t>Offering of the meter ownership pilot   (7.1  Provide for Competitive Metering Technologies)</w:t>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 w:val="24"/>
        </w:rPr>
      </w:pPr>
      <w:r>
        <w:rPr>
          <w:rFonts w:cs="Times New Roman"/>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BodyText"/>
        <w:rPr>
          <w:b/>
          <w:sz w:val="24"/>
          <w:lang w:eastAsia="en-US"/>
        </w:rPr>
      </w:pPr>
      <w:r>
        <w:rPr>
          <w:b/>
          <w:sz w:val="24"/>
          <w:lang w:eastAsia="en-US"/>
        </w:rPr>
      </w:r>
    </w:p>
    <w:p>
      <w:pPr>
        <w:pStyle w:val="BodyText"/>
        <w:jc w:val="center"/>
        <w:rPr>
          <w:rFonts w:ascii="Times New Roman" w:hAnsi="Times New Roman" w:cs="Times New Roman"/>
          <w:b/>
          <w:lang w:eastAsia="en-US"/>
        </w:rPr>
      </w:pPr>
      <w:r>
        <w:rPr>
          <w:rFonts w:cs="Times New Roman" w:ascii="Times New Roman" w:hAnsi="Times New Roman"/>
          <w:b/>
          <w:lang w:eastAsia="en-US"/>
        </w:rPr>
        <w:t>Gas Industry Restructuring</w:t>
        <w:br/>
        <w:t>OII 99-07-003</w:t>
        <w:br/>
        <w:t xml:space="preserve">Comprehensive Settlement Questions/Requests of </w:t>
        <w:br/>
        <w:t>Administrative Law Judge Andrea Biren</w:t>
        <w:br/>
      </w:r>
    </w:p>
    <w:p>
      <w:pPr>
        <w:pStyle w:val="BodyText"/>
        <w:rPr>
          <w:rFonts w:ascii="Times New Roman" w:hAnsi="Times New Roman" w:cs="Times New Roman"/>
          <w:b/>
          <w:lang w:eastAsia="en-US"/>
        </w:rPr>
      </w:pPr>
      <w:r>
        <w:rPr>
          <w:rFonts w:cs="Times New Roman" w:ascii="Times New Roman" w:hAnsi="Times New Roman"/>
          <w:b/>
          <w:lang w:eastAsia="en-US"/>
        </w:rPr>
      </w:r>
    </w:p>
    <w:p>
      <w:pPr>
        <w:pStyle w:val="BodyText"/>
        <w:ind w:hanging="1440" w:start="1440" w:end="0"/>
        <w:rPr/>
      </w:pPr>
      <w:r>
        <w:rPr>
          <w:rFonts w:cs="Times New Roman" w:ascii="Times New Roman" w:hAnsi="Times New Roman"/>
          <w:b/>
        </w:rPr>
        <w:t>Q.1.5,  Pg. 1:</w:t>
      </w:r>
      <w:r>
        <w:rPr>
          <w:rFonts w:cs="Times New Roman" w:ascii="Times New Roman" w:hAnsi="Times New Roman"/>
        </w:rPr>
        <w:tab/>
        <w:t>The Settlement provides for certain issues to be the subject of future proceedings at specified times after approval of Settlement.  Please list all such issues, the sections of the Settlement where they are referenced, and the time specified for dealing with those issues.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b/>
        </w:rPr>
      </w:pPr>
      <w:r>
        <w:rPr>
          <w:rFonts w:cs="Times New Roman" w:ascii="Times New Roman" w:hAnsi="Times New Roman"/>
          <w:b/>
        </w:rPr>
        <w:t>R.1.5,  Pg.  1:</w:t>
        <w:tab/>
      </w:r>
      <w:r>
        <w:rPr>
          <w:rFonts w:cs="Times New Roman" w:ascii="Times New Roman" w:hAnsi="Times New Roman"/>
        </w:rPr>
        <w:t>Issues to be discussed in the future include:</w:t>
      </w:r>
    </w:p>
    <w:p>
      <w:pPr>
        <w:pStyle w:val="BodyText"/>
        <w:rPr>
          <w:rFonts w:ascii="Times New Roman" w:hAnsi="Times New Roman" w:cs="Times New Roman"/>
          <w:b/>
        </w:rPr>
      </w:pPr>
      <w:r>
        <w:rPr>
          <w:rFonts w:cs="Times New Roman" w:ascii="Times New Roman" w:hAnsi="Times New Roman"/>
          <w:b/>
        </w:rPr>
      </w:r>
    </w:p>
    <w:p>
      <w:pPr>
        <w:pStyle w:val="BodyText"/>
        <w:numPr>
          <w:ilvl w:val="0"/>
          <w:numId w:val="3"/>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Customer infirmation data access workshops will begin on June 14, 2000.  See Mr. Nelson’s Testimony,  Section 6.1, page 12.</w:t>
      </w:r>
    </w:p>
    <w:p>
      <w:pPr>
        <w:pStyle w:val="BodyText"/>
        <w:numPr>
          <w:ilvl w:val="0"/>
          <w:numId w:val="3"/>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Discussion of new billing credits will begin between Commission approval of this Settlement and January 1, 2002.  See Mr. Nelson’s Testimony, Section 7.2.5, page 17</w:t>
      </w:r>
    </w:p>
    <w:p>
      <w:pPr>
        <w:pStyle w:val="BodyText"/>
        <w:numPr>
          <w:ilvl w:val="0"/>
          <w:numId w:val="3"/>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 xml:space="preserve">Discussion on Core procurement re-examination, Alternate Procurement Arrangements, Utility Incentives, Brokerage Fee or Consumer Protection will begin and be completed by 3 months after Commission approval of this Settlement.  A new Settlement, if any is needed will be filed 3 months after Commission approval of this Settlement and if no additional settlement is reached, SCG and SDG&amp;E will file a new application for Core Procurement and related items 6 months after Commission approval. See Mr. Nelson’s Testimony, Section 5.1, page 19. </w:t>
      </w:r>
    </w:p>
    <w:p>
      <w:pPr>
        <w:pStyle w:val="BodyText"/>
        <w:numPr>
          <w:ilvl w:val="0"/>
          <w:numId w:val="3"/>
        </w:numPr>
        <w:tabs>
          <w:tab w:val="clear" w:pos="720"/>
          <w:tab w:val="left" w:pos="1800" w:leader="none"/>
        </w:tabs>
        <w:ind w:hanging="360" w:start="1800" w:end="0"/>
        <w:rPr>
          <w:rFonts w:ascii="Times New Roman" w:hAnsi="Times New Roman" w:cs="Times New Roman"/>
        </w:rPr>
      </w:pPr>
      <w:r>
        <w:rPr>
          <w:rFonts w:cs="Times New Roman" w:ascii="Times New Roman" w:hAnsi="Times New Roman"/>
        </w:rPr>
        <w:t>Fees for utility O&amp;M incremental costs will be discussed after Commission approval of the Settlement.  See Mr. Nelson’s Testimony, Section 1.6.1.2, page 25</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ind w:hanging="2160" w:start="2160" w:end="0"/>
        <w:rPr/>
      </w:pPr>
      <w:r>
        <w:rPr>
          <w:b/>
          <w:sz w:val="24"/>
        </w:rPr>
        <w:t>Q.1.1.3.5.3, Pg. 13:</w:t>
      </w:r>
      <w:r>
        <w:rPr>
          <w:sz w:val="24"/>
        </w:rPr>
        <w:t xml:space="preserve"> </w:t>
        <w:tab/>
        <w:t>Does SDG&amp;E’s assignment of backbone transmission rights exist for the term of the Settlement?  The Agreement states that “some” of  SDG&amp;E’s existing upstream transportation commitments extend beyond the term of the Settlement.  Which commitments do not extend beyond the term of the Settlement?</w:t>
      </w:r>
    </w:p>
    <w:p>
      <w:pPr>
        <w:pStyle w:val="Normal"/>
        <w:rPr>
          <w:b/>
          <w:sz w:val="24"/>
        </w:rPr>
      </w:pPr>
      <w:r>
        <w:rPr>
          <w:b/>
          <w:sz w:val="24"/>
        </w:rPr>
      </w:r>
    </w:p>
    <w:p>
      <w:pPr>
        <w:pStyle w:val="Normal"/>
        <w:ind w:hanging="2160" w:start="2160" w:end="0"/>
        <w:rPr/>
      </w:pPr>
      <w:r>
        <w:rPr>
          <w:b/>
          <w:sz w:val="24"/>
        </w:rPr>
        <w:t>R.1.1.3.5.3, Pg. 13:</w:t>
      </w:r>
      <w:r>
        <w:rPr>
          <w:sz w:val="24"/>
        </w:rPr>
        <w:tab/>
        <w:t>Yes.  All of SDG&amp;E’s upstream transportation commitments extend beyond the term of the Settlement.</w:t>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b/>
          <w:sz w:val="24"/>
        </w:rPr>
      </w:pPr>
      <w:r>
        <w:rPr>
          <w:b/>
          <w:sz w:val="24"/>
        </w:rPr>
      </w:r>
    </w:p>
    <w:p>
      <w:pPr>
        <w:pStyle w:val="BodyText3"/>
        <w:rPr/>
      </w:pPr>
      <w:r>
        <w:rPr/>
        <w:t>Gas Industry Restructuring</w:t>
        <w:br/>
        <w:t>OII 99-07-003</w:t>
        <w:br/>
        <w:t xml:space="preserve">Comprehensive Settlement Questions/Requests of </w:t>
        <w:br/>
        <w:t>Administrative Law Judge Andrea Biren</w:t>
        <w:b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b/>
          <w:sz w:val="24"/>
        </w:rPr>
        <w:t>Q.11  Pg. 2</w:t>
        <w:tab/>
      </w:r>
      <w:r>
        <w:rPr>
          <w:sz w:val="24"/>
        </w:rPr>
        <w:t>What is EDI billing?</w:t>
      </w:r>
    </w:p>
    <w:p>
      <w:pPr>
        <w:pStyle w:val="Normal"/>
        <w:rPr>
          <w:sz w:val="24"/>
        </w:rPr>
      </w:pPr>
      <w:r>
        <w:rPr>
          <w:sz w:val="24"/>
        </w:rPr>
      </w:r>
    </w:p>
    <w:p>
      <w:pPr>
        <w:pStyle w:val="Normal"/>
        <w:ind w:hanging="1440" w:start="1440" w:end="0"/>
        <w:rPr/>
      </w:pPr>
      <w:r>
        <w:rPr>
          <w:b/>
          <w:sz w:val="24"/>
        </w:rPr>
        <w:t>R.11  Pg. 2</w:t>
      </w:r>
      <w:r>
        <w:rPr>
          <w:sz w:val="24"/>
        </w:rPr>
        <w:tab/>
        <w:t xml:space="preserve">“EDI” stands for “electronic data interchange” and is used generically to refer to protocols and standards for exchanging information electronically between ESPs and the utilities.  “EDI billing” refers to the electronic data exchange that occurs between the utility and the ESP to transfer billing detail to allow for consolidated billing, either ESP consolidated billing or utility consolidated billing.  </w:t>
      </w:r>
    </w:p>
    <w:p>
      <w:pPr>
        <w:pStyle w:val="Heading2"/>
        <w:rPr>
          <w:b w:val="false"/>
          <w:i w:val="false"/>
          <w:i w:val="false"/>
          <w:sz w:val="24"/>
        </w:rPr>
      </w:pPr>
      <w:r>
        <w:rPr>
          <w:b w:val="false"/>
          <w:i w:val="false"/>
          <w:sz w:val="24"/>
        </w:rPr>
      </w:r>
    </w:p>
    <w:p>
      <w:pPr>
        <w:pStyle w:val="Normal"/>
        <w:rPr>
          <w:b/>
          <w:i/>
          <w:i/>
          <w:sz w:val="24"/>
        </w:rPr>
      </w:pPr>
      <w:r>
        <w:rPr>
          <w:b/>
          <w:i/>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Normal"/>
        <w:rPr>
          <w:b/>
          <w:sz w:val="24"/>
          <w:lang w:eastAsia="en-US"/>
        </w:rPr>
      </w:pPr>
      <w:r>
        <w:rPr>
          <w:b/>
          <w:sz w:val="24"/>
          <w:lang w:eastAsia="en-US"/>
        </w:rPr>
      </w:r>
    </w:p>
    <w:p>
      <w:pPr>
        <w:pStyle w:val="Normal"/>
        <w:rPr/>
      </w:pPr>
      <w:r>
        <w:rPr>
          <w:b/>
          <w:sz w:val="24"/>
        </w:rPr>
        <w:t>Q.1.6.1.2, Pg. 3:</w:t>
        <w:tab/>
      </w:r>
      <w:r>
        <w:rPr>
          <w:sz w:val="24"/>
        </w:rPr>
        <w:t xml:space="preserve"> Please specify which sections are “retail” sections.</w:t>
      </w:r>
    </w:p>
    <w:p>
      <w:pPr>
        <w:pStyle w:val="Normal"/>
        <w:rPr>
          <w:b/>
          <w:sz w:val="24"/>
        </w:rPr>
      </w:pPr>
      <w:r>
        <w:rPr>
          <w:b/>
          <w:sz w:val="24"/>
        </w:rPr>
      </w:r>
    </w:p>
    <w:p>
      <w:pPr>
        <w:pStyle w:val="BodyText"/>
        <w:tabs>
          <w:tab w:val="clear" w:pos="720"/>
          <w:tab w:val="left" w:pos="1080" w:leader="none"/>
        </w:tabs>
        <w:ind w:hanging="2160" w:start="2160" w:end="0"/>
        <w:rPr/>
      </w:pPr>
      <w:r>
        <w:rPr>
          <w:rFonts w:cs="Times New Roman" w:ascii="Times New Roman" w:hAnsi="Times New Roman"/>
          <w:b/>
        </w:rPr>
        <w:t>R.1.6.1.2, Pg. 3:</w:t>
      </w:r>
      <w:r>
        <w:rPr>
          <w:rFonts w:cs="Times New Roman" w:ascii="Times New Roman" w:hAnsi="Times New Roman"/>
        </w:rPr>
        <w:tab/>
        <w:t>The following sections are commonly referred to as the retail portion of the Comprehensive Settlement Agreement:</w:t>
      </w:r>
    </w:p>
    <w:p>
      <w:pPr>
        <w:pStyle w:val="Normal"/>
        <w:tabs>
          <w:tab w:val="clear" w:pos="720"/>
          <w:tab w:val="left" w:pos="1080" w:leader="none"/>
        </w:tabs>
        <w:rPr>
          <w:rFonts w:ascii="Times New Roman" w:hAnsi="Times New Roman" w:cs="Times New Roman"/>
          <w:sz w:val="24"/>
        </w:rPr>
      </w:pPr>
      <w:r>
        <w:rPr>
          <w:rFonts w:cs="Times New Roman"/>
          <w:sz w:val="24"/>
        </w:rPr>
      </w:r>
    </w:p>
    <w:p>
      <w:pPr>
        <w:pStyle w:val="Normal"/>
        <w:tabs>
          <w:tab w:val="clear" w:pos="720"/>
          <w:tab w:val="left" w:pos="1080" w:leader="none"/>
        </w:tabs>
        <w:rPr>
          <w:sz w:val="24"/>
        </w:rPr>
      </w:pPr>
      <w:r>
        <w:rPr>
          <w:sz w:val="24"/>
        </w:rPr>
        <w:tab/>
        <w:tab/>
        <w:tab/>
        <w:tab/>
        <w:t>5.1  Re-examine Utility Role in Core Procurement</w:t>
      </w:r>
    </w:p>
    <w:p>
      <w:pPr>
        <w:pStyle w:val="Normal"/>
        <w:ind w:firstLine="1080" w:start="1800" w:end="0"/>
        <w:rPr>
          <w:sz w:val="24"/>
        </w:rPr>
      </w:pPr>
      <w:r>
        <w:rPr>
          <w:sz w:val="24"/>
        </w:rPr>
        <w:t xml:space="preserve">5.2  Eliminate Core Aggregation Transportation Thresholds </w:t>
      </w:r>
    </w:p>
    <w:p>
      <w:pPr>
        <w:pStyle w:val="Normal"/>
        <w:ind w:firstLine="720" w:start="2160" w:end="0"/>
        <w:rPr>
          <w:sz w:val="24"/>
        </w:rPr>
      </w:pPr>
      <w:r>
        <w:rPr>
          <w:sz w:val="24"/>
        </w:rPr>
        <w:t>5.5  Eliminate Core Subscription Service</w:t>
      </w:r>
    </w:p>
    <w:p>
      <w:pPr>
        <w:pStyle w:val="Normal"/>
        <w:ind w:start="2880" w:end="0"/>
        <w:rPr>
          <w:sz w:val="24"/>
        </w:rPr>
      </w:pPr>
      <w:r>
        <w:rPr>
          <w:sz w:val="24"/>
        </w:rPr>
        <w:t>5.6  Separate Costs and Rates for Core Utility Procurement] Services</w:t>
      </w:r>
    </w:p>
    <w:p>
      <w:pPr>
        <w:pStyle w:val="Normal"/>
        <w:tabs>
          <w:tab w:val="clear" w:pos="720"/>
          <w:tab w:val="left" w:pos="2250" w:leader="none"/>
        </w:tabs>
        <w:ind w:start="1080" w:end="0"/>
        <w:rPr>
          <w:sz w:val="24"/>
        </w:rPr>
      </w:pPr>
      <w:r>
        <w:rPr>
          <w:sz w:val="24"/>
        </w:rPr>
        <w:tab/>
        <w:tab/>
        <w:t>6.1.3 Provide Real-time, Customer-Specific Data</w:t>
      </w:r>
    </w:p>
    <w:p>
      <w:pPr>
        <w:pStyle w:val="Normal"/>
        <w:ind w:firstLine="720" w:start="2160" w:end="0"/>
        <w:rPr>
          <w:sz w:val="24"/>
        </w:rPr>
      </w:pPr>
      <w:r>
        <w:rPr>
          <w:sz w:val="24"/>
        </w:rPr>
        <w:t>7.1  Provide for Competitve Metering Technologies</w:t>
      </w:r>
    </w:p>
    <w:p>
      <w:pPr>
        <w:pStyle w:val="Normal"/>
        <w:ind w:firstLine="720" w:start="2160" w:end="0"/>
        <w:rPr>
          <w:sz w:val="24"/>
        </w:rPr>
      </w:pPr>
      <w:r>
        <w:rPr>
          <w:sz w:val="24"/>
        </w:rPr>
        <w:t xml:space="preserve">7.2  Provide Competitive Billing Options </w:t>
      </w:r>
    </w:p>
    <w:p>
      <w:pPr>
        <w:pStyle w:val="Normal"/>
        <w:rPr>
          <w:sz w:val="24"/>
        </w:rPr>
      </w:pPr>
      <w:r>
        <w:rPr>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tabs>
          <w:tab w:val="clear" w:pos="720"/>
          <w:tab w:val="left" w:pos="1080" w:leader="none"/>
        </w:tabs>
        <w:ind w:hanging="2160" w:start="2160" w:end="0"/>
        <w:rPr>
          <w:b/>
          <w:sz w:val="24"/>
        </w:rPr>
      </w:pPr>
      <w:r>
        <w:rPr>
          <w:b/>
          <w:sz w:val="24"/>
        </w:rPr>
      </w:r>
    </w:p>
    <w:p>
      <w:pPr>
        <w:pStyle w:val="Normal"/>
        <w:rPr>
          <w:b/>
          <w:sz w:val="24"/>
        </w:rPr>
      </w:pPr>
      <w:r>
        <w:rPr>
          <w:b/>
          <w:sz w:val="24"/>
        </w:rPr>
      </w:r>
    </w:p>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Normal"/>
        <w:tabs>
          <w:tab w:val="clear" w:pos="720"/>
          <w:tab w:val="left" w:pos="1080" w:leader="none"/>
        </w:tabs>
        <w:ind w:hanging="2160" w:start="2160" w:end="0"/>
        <w:rPr>
          <w:b/>
          <w:sz w:val="24"/>
          <w:lang w:eastAsia="en-US"/>
        </w:rPr>
      </w:pPr>
      <w:r>
        <w:rPr>
          <w:b/>
          <w:sz w:val="24"/>
          <w:lang w:eastAsia="en-US"/>
        </w:rPr>
      </w:r>
    </w:p>
    <w:p>
      <w:pPr>
        <w:pStyle w:val="Normal"/>
        <w:tabs>
          <w:tab w:val="clear" w:pos="720"/>
          <w:tab w:val="left" w:pos="1080" w:leader="none"/>
        </w:tabs>
        <w:ind w:hanging="2160" w:start="2160" w:end="0"/>
        <w:rPr/>
      </w:pPr>
      <w:r>
        <w:rPr>
          <w:b/>
          <w:sz w:val="24"/>
        </w:rPr>
        <w:t>Q.5.1.3:</w:t>
        <w:tab/>
        <w:tab/>
      </w:r>
      <w:r>
        <w:rPr>
          <w:sz w:val="24"/>
        </w:rPr>
        <w:t>Does SoCalGas see a need to bring a new proposal regarding LDC’s procurement role to CPUC?</w:t>
      </w:r>
    </w:p>
    <w:p>
      <w:pPr>
        <w:pStyle w:val="Normal"/>
        <w:tabs>
          <w:tab w:val="clear" w:pos="720"/>
          <w:tab w:val="left" w:pos="1080" w:leader="none"/>
        </w:tabs>
        <w:rPr>
          <w:b/>
          <w:sz w:val="24"/>
        </w:rPr>
      </w:pPr>
      <w:r>
        <w:rPr>
          <w:b/>
          <w:sz w:val="24"/>
        </w:rPr>
      </w:r>
    </w:p>
    <w:p>
      <w:pPr>
        <w:pStyle w:val="Normal"/>
        <w:tabs>
          <w:tab w:val="clear" w:pos="720"/>
          <w:tab w:val="left" w:pos="1080" w:leader="none"/>
        </w:tabs>
        <w:ind w:hanging="2160" w:start="2160" w:end="0"/>
        <w:rPr/>
      </w:pPr>
      <w:r>
        <w:rPr>
          <w:b/>
          <w:sz w:val="24"/>
        </w:rPr>
        <w:t>Q.5.1.3:</w:t>
      </w:r>
      <w:r>
        <w:rPr>
          <w:sz w:val="24"/>
        </w:rPr>
        <w:tab/>
        <w:tab/>
        <w:t>SoCalGas may wish to bring a proposal to the Commission for consideration.  However, no commitment has been made by SoCalGas to make a proposal.  SoCalGas will discuss alternate approaches to LDC procurement with parties in the future. The Comprehensive Settlement Agreement states that this is an issue which requires additional time to address.   Depending on the nature of any new proposal that may be developed, Commission approval may or may not be required.  No new proposal will be pursued by SoCalGas without the input of parties signatory to the agreement.</w:t>
      </w:r>
    </w:p>
    <w:p>
      <w:pPr>
        <w:pStyle w:val="Normal"/>
        <w:rPr>
          <w:sz w:val="24"/>
        </w:rPr>
      </w:pPr>
      <w:r>
        <w:rPr>
          <w:sz w:val="24"/>
        </w:rPr>
      </w:r>
    </w:p>
    <w:p>
      <w:pPr>
        <w:pStyle w:val="Normal"/>
        <w:rPr>
          <w:sz w:val="24"/>
        </w:rPr>
      </w:pPr>
      <w:r>
        <w:rPr>
          <w:sz w:val="24"/>
        </w:rPr>
      </w:r>
    </w:p>
    <w:p>
      <w:pPr>
        <w:pStyle w:val="Normal"/>
        <w:ind w:hanging="2160" w:start="2160" w:end="0"/>
        <w:rPr/>
      </w:pPr>
      <w:r>
        <w:rPr>
          <w:b/>
          <w:sz w:val="24"/>
        </w:rPr>
        <w:t>Q.5.5.3, Pg. 61:</w:t>
      </w:r>
      <w:r>
        <w:rPr>
          <w:sz w:val="24"/>
        </w:rPr>
        <w:t xml:space="preserve"> </w:t>
        <w:tab/>
        <w:t xml:space="preserve">Will core subscription customers become </w:t>
      </w:r>
      <w:r>
        <w:rPr>
          <w:sz w:val="24"/>
          <w:u w:val="single"/>
        </w:rPr>
        <w:t>permanent</w:t>
      </w:r>
      <w:r>
        <w:rPr>
          <w:sz w:val="24"/>
        </w:rPr>
        <w:t xml:space="preserve"> core customers if they decide not to purchase gas from an alternative supplier?</w:t>
      </w:r>
    </w:p>
    <w:p>
      <w:pPr>
        <w:pStyle w:val="Normal"/>
        <w:rPr>
          <w:sz w:val="24"/>
        </w:rPr>
      </w:pPr>
      <w:r>
        <w:rPr>
          <w:sz w:val="24"/>
        </w:rPr>
      </w:r>
    </w:p>
    <w:p>
      <w:pPr>
        <w:pStyle w:val="Normal"/>
        <w:ind w:hanging="2160" w:start="2160" w:end="0"/>
        <w:rPr/>
      </w:pPr>
      <w:r>
        <w:rPr>
          <w:b/>
          <w:sz w:val="24"/>
        </w:rPr>
        <w:t>R.5.5.3, Pg. 61:</w:t>
      </w:r>
      <w:r>
        <w:rPr>
          <w:sz w:val="24"/>
        </w:rPr>
        <w:tab/>
        <w:t xml:space="preserve">No, core subscription customers will not have to become permanent core customers.  While not specifically stated, it is assumed that customers that have not decided to purchase gas from an alternative supplier will periodically have the opportunity to make that selection.  There are BCAP revenue tracking and risk implications of customers switching from the utility to an alternative supplier after the current BCAP period (through 2002).  These matters will be dealt with in the next SoCalGas/SDG&amp;E BCAP applications.   While not specifically stated, it is assumed that these customers would be temporary core customers until the next BCAP.  They would not be restricted from choosing a marketer and returning to noncore status during this period.  Once the next BCAP is in place, if these customers are still receiving core service, they would be permanent core customers.  The customers would then have to follow standard Commission procedures for changing to noncore status.  </w:t>
      </w:r>
    </w:p>
    <w:p>
      <w:pPr>
        <w:pStyle w:val="Normal"/>
        <w:rPr>
          <w:sz w:val="24"/>
        </w:rPr>
      </w:pPr>
      <w:r>
        <w:rPr>
          <w:sz w:val="24"/>
        </w:rPr>
      </w:r>
    </w:p>
    <w:p>
      <w:pPr>
        <w:pStyle w:val="Normal"/>
        <w:rPr>
          <w:sz w:val="24"/>
        </w:rPr>
      </w:pPr>
      <w:r>
        <w:rPr>
          <w:sz w:val="24"/>
        </w:rPr>
      </w:r>
    </w:p>
    <w:p>
      <w:pPr>
        <w:pStyle w:val="Normal"/>
        <w:ind w:hanging="2160" w:start="2160" w:end="0"/>
        <w:rPr>
          <w:b/>
          <w:sz w:val="24"/>
        </w:rPr>
      </w:pPr>
      <w:r>
        <w:rPr>
          <w:b/>
          <w:sz w:val="24"/>
        </w:rPr>
      </w:r>
    </w:p>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Normal"/>
        <w:ind w:hanging="2160" w:start="2160" w:end="0"/>
        <w:rPr/>
      </w:pPr>
      <w:r>
        <w:rPr>
          <w:b/>
          <w:sz w:val="24"/>
        </w:rPr>
        <w:t>Q.5.6.3, Pg. 62:</w:t>
        <w:tab/>
      </w:r>
      <w:r>
        <w:rPr>
          <w:sz w:val="24"/>
        </w:rPr>
        <w:t xml:space="preserve">Explain the effect on core transportation and procurement rates of the increase in the brokerage fee. Does this offset and lower transportation rate?  The core brokerage fee is being increased almost 25% - what is the justification? Does this reflect the true cost? </w:t>
      </w:r>
    </w:p>
    <w:p>
      <w:pPr>
        <w:pStyle w:val="Normal"/>
        <w:tabs>
          <w:tab w:val="clear" w:pos="720"/>
          <w:tab w:val="left" w:pos="0" w:leader="none"/>
        </w:tabs>
        <w:ind w:hanging="2160" w:start="2160" w:end="0"/>
        <w:rPr>
          <w:sz w:val="24"/>
        </w:rPr>
      </w:pPr>
      <w:r>
        <w:rPr>
          <w:sz w:val="24"/>
        </w:rPr>
      </w:r>
    </w:p>
    <w:p>
      <w:pPr>
        <w:pStyle w:val="Normal"/>
        <w:tabs>
          <w:tab w:val="clear" w:pos="720"/>
          <w:tab w:val="left" w:pos="0" w:leader="none"/>
        </w:tabs>
        <w:rPr>
          <w:sz w:val="24"/>
        </w:rPr>
      </w:pPr>
      <w:r>
        <w:rPr>
          <w:sz w:val="24"/>
        </w:rPr>
      </w:r>
    </w:p>
    <w:p>
      <w:pPr>
        <w:pStyle w:val="Normal"/>
        <w:ind w:hanging="2160" w:start="2160" w:end="0"/>
        <w:rPr/>
      </w:pPr>
      <w:r>
        <w:rPr>
          <w:b/>
          <w:sz w:val="24"/>
        </w:rPr>
        <w:t>R.5.6.3, Pg. 62:</w:t>
        <w:tab/>
      </w:r>
      <w:r>
        <w:rPr>
          <w:sz w:val="24"/>
        </w:rPr>
        <w:t xml:space="preserve">The brokerage fee increase brings SoCalGas’ and SDG&amp;E’s rate into parity with the rate adopted by PG&amp;E in their Gas Accord.  The increase in core brokerage fee will result in a decrease in transportation rates for all core customers.  If the procurement rate is increased to 2.4 cents per decatherm, based on the adopted BCAP throughput for core customers receiving utility procurement, the equivalent dollar amount is deducted from the utility base margin.   The cost is then collected from core customers receiving utility procurement only.  To the extent this brokerage fee is under or overcollected from core customers receiving utility procurement, the balance is included in the retail core Purchase Gas Adjustment. </w:t>
      </w:r>
    </w:p>
    <w:p>
      <w:pPr>
        <w:pStyle w:val="Normal"/>
        <w:ind w:hanging="2160" w:start="2160" w:end="0"/>
        <w:rPr>
          <w:b/>
          <w:sz w:val="24"/>
        </w:rPr>
      </w:pPr>
      <w:r>
        <w:rPr>
          <w:b/>
          <w:sz w:val="24"/>
        </w:rPr>
      </w:r>
    </w:p>
    <w:p>
      <w:pPr>
        <w:pStyle w:val="Normal"/>
        <w:ind w:hanging="2160" w:start="2160" w:end="0"/>
        <w:rPr>
          <w:sz w:val="24"/>
        </w:rPr>
      </w:pPr>
      <w:r>
        <w:rPr>
          <w:sz w:val="24"/>
        </w:rPr>
        <w:tab/>
        <w:t xml:space="preserve">No, it is a negotiated amount equal to the procurement brokerage rate for PG&amp;E.   No detailed studies have been performed since the 1996 BCAP in which the Commission adopted the current values for SoCalGas and SDG&amp;E as a proxy for the true brokerage cost.  These rates have not been adjusted for inflation since then. </w:t>
      </w:r>
    </w:p>
    <w:p>
      <w:pPr>
        <w:pStyle w:val="Normal"/>
        <w:ind w:hanging="1080" w:start="1080" w:end="0"/>
        <w:rPr>
          <w:sz w:val="24"/>
        </w:rPr>
      </w:pPr>
      <w:r>
        <w:rPr>
          <w:sz w:val="24"/>
        </w:rPr>
      </w:r>
    </w:p>
    <w:p>
      <w:pPr>
        <w:pStyle w:val="Normal"/>
        <w:ind w:hanging="2160" w:start="2160" w:end="0"/>
        <w:rPr/>
      </w:pPr>
      <w:r>
        <w:rPr>
          <w:b/>
          <w:sz w:val="24"/>
        </w:rPr>
        <w:t>Q.7.1.2, Pg. 70:</w:t>
        <w:tab/>
      </w:r>
      <w:r>
        <w:rPr>
          <w:sz w:val="24"/>
        </w:rPr>
        <w:t>How will SoCalGas choose which customers will participate in the pilot program? To which Division at the CPUC is joint evaluation of pilot programs given?  What do Settlement parties expect the CPUC to do with it?</w:t>
      </w:r>
    </w:p>
    <w:p>
      <w:pPr>
        <w:pStyle w:val="Normal"/>
        <w:ind w:hanging="1080" w:start="1080" w:end="0"/>
        <w:rPr>
          <w:sz w:val="24"/>
        </w:rPr>
      </w:pPr>
      <w:r>
        <w:rPr>
          <w:sz w:val="24"/>
        </w:rPr>
      </w:r>
    </w:p>
    <w:p>
      <w:pPr>
        <w:pStyle w:val="Normal"/>
        <w:ind w:hanging="2160" w:start="2160" w:end="0"/>
        <w:rPr/>
      </w:pPr>
      <w:r>
        <w:rPr>
          <w:b/>
          <w:sz w:val="24"/>
        </w:rPr>
        <w:t>R.7.1.2, Pg. 70:</w:t>
        <w:tab/>
      </w:r>
      <w:r>
        <w:rPr>
          <w:sz w:val="24"/>
        </w:rPr>
        <w:t>SoCalGas and SDG&amp;E will choose customers on a first come, first served basis.  It is noted that meters will only be installed on new construction, so that it is likely that requests will come in during the construction process and not all at once.  This only answers the first part of the questions.  Eric needs an answer to the second and third parts of the question.</w:t>
      </w:r>
    </w:p>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spacing w:before="0" w:after="600"/>
        <w:jc w:val="center"/>
        <w:rPr>
          <w:b/>
          <w:sz w:val="24"/>
          <w:lang w:eastAsia="en-US"/>
        </w:rPr>
      </w:pPr>
      <w:r>
        <w:rPr>
          <w:b/>
          <w:sz w:val="24"/>
          <w:lang w:eastAsia="en-US"/>
        </w:rPr>
        <w:t>Gas Industry Restructuring</w:t>
        <w:br/>
        <w:t>OII 99-07-003</w:t>
        <w:br/>
        <w:t xml:space="preserve">Comprehensive Settlement Questions/Requests of </w:t>
        <w:br/>
        <w:t>Administrative Law Judge Andrea Biren</w:t>
        <w:br/>
      </w:r>
    </w:p>
    <w:p>
      <w:pPr>
        <w:pStyle w:val="Normal"/>
        <w:rPr>
          <w:b/>
          <w:sz w:val="24"/>
          <w:lang w:eastAsia="en-US"/>
        </w:rPr>
      </w:pPr>
      <w:r>
        <w:rPr>
          <w:b/>
          <w:sz w:val="24"/>
          <w:lang w:eastAsia="en-US"/>
        </w:rPr>
      </w:r>
    </w:p>
    <w:p>
      <w:pPr>
        <w:pStyle w:val="Normal"/>
        <w:rPr/>
      </w:pPr>
      <w:r>
        <w:rPr>
          <w:b/>
          <w:sz w:val="24"/>
        </w:rPr>
        <w:t>Q.7.2.2.</w:t>
        <w:tab/>
        <w:tab/>
      </w:r>
      <w:r>
        <w:rPr>
          <w:sz w:val="24"/>
        </w:rPr>
        <w:t>In this context, what is “EIR”? Is it an ESP?</w:t>
      </w:r>
    </w:p>
    <w:p>
      <w:pPr>
        <w:pStyle w:val="Normal"/>
        <w:rPr>
          <w:sz w:val="24"/>
        </w:rPr>
      </w:pPr>
      <w:r>
        <w:rPr>
          <w:sz w:val="24"/>
        </w:rPr>
      </w:r>
    </w:p>
    <w:p>
      <w:pPr>
        <w:pStyle w:val="Normal"/>
        <w:ind w:hanging="2160" w:start="2160" w:end="0"/>
        <w:rPr/>
      </w:pPr>
      <w:r>
        <w:rPr>
          <w:b/>
          <w:sz w:val="24"/>
        </w:rPr>
        <w:t>R.7.2.2</w:t>
      </w:r>
      <w:r>
        <w:rPr>
          <w:sz w:val="24"/>
        </w:rPr>
        <w:t>.</w:t>
        <w:tab/>
        <w:t xml:space="preserve">“EIR” is an acronym for Electric Industry Restructuring in which many billing standards and protocols were adopted for utilities and ESPs.  EIR is not an ESP (Energy Service Provider).  </w:t>
      </w:r>
    </w:p>
    <w:p>
      <w:pPr>
        <w:pStyle w:val="Normal"/>
        <w:rPr>
          <w:sz w:val="24"/>
        </w:rPr>
      </w:pPr>
      <w:r>
        <w:rPr>
          <w:sz w:val="24"/>
        </w:rPr>
      </w:r>
    </w:p>
    <w:p>
      <w:pPr>
        <w:pStyle w:val="Normal"/>
        <w:rPr>
          <w:sz w:val="24"/>
        </w:rPr>
      </w:pPr>
      <w:r>
        <w:rPr>
          <w:sz w:val="24"/>
        </w:rPr>
      </w:r>
    </w:p>
    <w:p>
      <w:pPr>
        <w:pStyle w:val="Normal"/>
        <w:rPr/>
      </w:pPr>
      <w:r>
        <w:rPr>
          <w:b/>
          <w:sz w:val="24"/>
        </w:rPr>
        <w:t xml:space="preserve">Q.7.2.4, Pg. 74: </w:t>
        <w:tab/>
      </w:r>
      <w:r>
        <w:rPr>
          <w:sz w:val="24"/>
        </w:rPr>
        <w:t>By what process will “disputes” be handled? Advice letter?</w:t>
      </w:r>
    </w:p>
    <w:p>
      <w:pPr>
        <w:pStyle w:val="Normal"/>
        <w:rPr>
          <w:sz w:val="24"/>
        </w:rPr>
      </w:pPr>
      <w:r>
        <w:rPr>
          <w:sz w:val="24"/>
        </w:rPr>
        <w:t xml:space="preserve"> </w:t>
      </w:r>
      <w:r>
        <w:rPr>
          <w:sz w:val="24"/>
        </w:rPr>
        <w:tab/>
        <w:tab/>
        <w:tab/>
        <w:t>Complaint?</w:t>
      </w:r>
    </w:p>
    <w:p>
      <w:pPr>
        <w:pStyle w:val="Normal"/>
        <w:rPr>
          <w:sz w:val="24"/>
        </w:rPr>
      </w:pPr>
      <w:r>
        <w:rPr>
          <w:sz w:val="24"/>
        </w:rPr>
      </w:r>
    </w:p>
    <w:p>
      <w:pPr>
        <w:pStyle w:val="BodyText2"/>
        <w:rPr/>
      </w:pPr>
      <w:r>
        <w:rPr>
          <w:b/>
          <w:i w:val="false"/>
          <w:sz w:val="24"/>
        </w:rPr>
        <w:t xml:space="preserve">R.7.2.4, Pg. 74:          </w:t>
      </w:r>
      <w:r>
        <w:rPr>
          <w:i w:val="false"/>
          <w:sz w:val="24"/>
        </w:rPr>
        <w:t xml:space="preserve">Disputes regarding the consolidated billing options, termination of </w:t>
      </w:r>
    </w:p>
    <w:p>
      <w:pPr>
        <w:pStyle w:val="BodyText2"/>
        <w:rPr>
          <w:i w:val="false"/>
          <w:i w:val="false"/>
          <w:sz w:val="24"/>
        </w:rPr>
      </w:pPr>
      <w:r>
        <w:rPr>
          <w:i w:val="false"/>
          <w:sz w:val="24"/>
        </w:rPr>
        <w:t xml:space="preserve">                                    </w:t>
      </w:r>
      <w:r>
        <w:rPr>
          <w:i w:val="false"/>
          <w:sz w:val="24"/>
        </w:rPr>
        <w:t xml:space="preserve">the information only bill, including utility provided bill inserts, or </w:t>
      </w:r>
    </w:p>
    <w:p>
      <w:pPr>
        <w:pStyle w:val="BodyText2"/>
        <w:rPr>
          <w:i w:val="false"/>
          <w:i w:val="false"/>
          <w:sz w:val="24"/>
        </w:rPr>
      </w:pPr>
      <w:r>
        <w:rPr>
          <w:i w:val="false"/>
          <w:sz w:val="24"/>
        </w:rPr>
        <w:t xml:space="preserve">                                    </w:t>
      </w:r>
      <w:r>
        <w:rPr>
          <w:i w:val="false"/>
          <w:sz w:val="24"/>
        </w:rPr>
        <w:t xml:space="preserve">any other aspect of the utility – CTA relationship, would ordinarily </w:t>
      </w:r>
    </w:p>
    <w:p>
      <w:pPr>
        <w:pStyle w:val="BodyText2"/>
        <w:rPr>
          <w:i w:val="false"/>
          <w:i w:val="false"/>
          <w:sz w:val="24"/>
        </w:rPr>
      </w:pPr>
      <w:r>
        <w:rPr>
          <w:i w:val="false"/>
          <w:sz w:val="24"/>
        </w:rPr>
        <w:t xml:space="preserve">                                    </w:t>
      </w:r>
      <w:r>
        <w:rPr>
          <w:i w:val="false"/>
          <w:sz w:val="24"/>
        </w:rPr>
        <w:t xml:space="preserve">be resolved through the formal complaint process if informal </w:t>
      </w:r>
    </w:p>
    <w:p>
      <w:pPr>
        <w:pStyle w:val="BodyText2"/>
        <w:rPr>
          <w:i w:val="false"/>
          <w:i w:val="false"/>
          <w:sz w:val="24"/>
        </w:rPr>
      </w:pPr>
      <w:r>
        <w:rPr>
          <w:i w:val="false"/>
          <w:sz w:val="24"/>
        </w:rPr>
        <w:t xml:space="preserve">                                    </w:t>
      </w:r>
      <w:r>
        <w:rPr>
          <w:i w:val="false"/>
          <w:sz w:val="24"/>
        </w:rPr>
        <w:t xml:space="preserve">means are unsuccessful.  Upcoming discussions about these and </w:t>
      </w:r>
    </w:p>
    <w:p>
      <w:pPr>
        <w:pStyle w:val="BodyText2"/>
        <w:rPr>
          <w:i w:val="false"/>
          <w:i w:val="false"/>
          <w:sz w:val="24"/>
        </w:rPr>
      </w:pPr>
      <w:r>
        <w:rPr>
          <w:i w:val="false"/>
          <w:sz w:val="24"/>
        </w:rPr>
        <w:t xml:space="preserve">                                    </w:t>
      </w:r>
      <w:r>
        <w:rPr>
          <w:i w:val="false"/>
          <w:sz w:val="24"/>
        </w:rPr>
        <w:t xml:space="preserve">other subjects as provided for in the Comprehensive Settlement </w:t>
      </w:r>
    </w:p>
    <w:p>
      <w:pPr>
        <w:pStyle w:val="BodyText2"/>
        <w:rPr>
          <w:i w:val="false"/>
          <w:i w:val="false"/>
          <w:sz w:val="24"/>
        </w:rPr>
      </w:pPr>
      <w:r>
        <w:rPr>
          <w:i w:val="false"/>
          <w:sz w:val="24"/>
        </w:rPr>
        <w:t xml:space="preserve">                                    </w:t>
      </w:r>
      <w:r>
        <w:rPr>
          <w:i w:val="false"/>
          <w:sz w:val="24"/>
        </w:rPr>
        <w:t>Agreement may provide for additional dispute resolutions means</w:t>
      </w:r>
    </w:p>
    <w:p>
      <w:pPr>
        <w:pStyle w:val="BodyText2"/>
        <w:rPr>
          <w:i w:val="false"/>
          <w:i w:val="false"/>
          <w:sz w:val="24"/>
        </w:rPr>
      </w:pPr>
      <w:r>
        <w:rPr>
          <w:i w:val="false"/>
          <w:sz w:val="24"/>
        </w:rPr>
        <w:t xml:space="preserve">                                    </w:t>
      </w:r>
      <w:r>
        <w:rPr>
          <w:i w:val="false"/>
          <w:sz w:val="24"/>
        </w:rPr>
        <w:t>however.</w:t>
      </w:r>
    </w:p>
    <w:p>
      <w:pPr>
        <w:pStyle w:val="Normal"/>
        <w:rPr>
          <w:i/>
          <w:i/>
          <w:sz w:val="24"/>
        </w:rPr>
      </w:pPr>
      <w:r>
        <w:rPr>
          <w:i/>
          <w:sz w:val="24"/>
        </w:rPr>
      </w:r>
    </w:p>
    <w:p>
      <w:pPr>
        <w:pStyle w:val="BodyText"/>
        <w:ind w:hanging="2160" w:start="2160" w:end="0"/>
        <w:rPr/>
      </w:pPr>
      <w:r>
        <w:rPr>
          <w:rFonts w:cs="Times New Roman" w:ascii="Times New Roman" w:hAnsi="Times New Roman"/>
          <w:b/>
        </w:rPr>
        <w:t>Q.7.2.5, Pg. 74:</w:t>
      </w:r>
      <w:r>
        <w:rPr>
          <w:rFonts w:cs="Times New Roman" w:ascii="Times New Roman" w:hAnsi="Times New Roman"/>
        </w:rPr>
        <w:tab/>
        <w:t>How did the parties arrive at the credit amounts and why is there a difference in credits between residential and non-residential?</w:t>
      </w:r>
    </w:p>
    <w:p>
      <w:pPr>
        <w:pStyle w:val="BodyText"/>
        <w:rPr>
          <w:rFonts w:ascii="Times New Roman" w:hAnsi="Times New Roman" w:cs="Times New Roman"/>
        </w:rPr>
      </w:pPr>
      <w:r>
        <w:rPr>
          <w:rFonts w:cs="Times New Roman" w:ascii="Times New Roman" w:hAnsi="Times New Roman"/>
        </w:rPr>
      </w:r>
    </w:p>
    <w:p>
      <w:pPr>
        <w:pStyle w:val="PlainText"/>
        <w:widowControl w:val="false"/>
        <w:spacing w:before="0" w:after="120"/>
        <w:ind w:hanging="2250" w:start="2160" w:end="0"/>
        <w:rPr/>
      </w:pPr>
      <w:r>
        <w:rPr>
          <w:rFonts w:cs="Times New Roman" w:ascii="Times New Roman" w:hAnsi="Times New Roman"/>
          <w:b/>
          <w:sz w:val="24"/>
        </w:rPr>
        <w:t>R.7.2.5, Pg. 74:</w:t>
        <w:tab/>
      </w:r>
      <w:r>
        <w:rPr>
          <w:rFonts w:cs="Times New Roman" w:ascii="Times New Roman" w:hAnsi="Times New Roman"/>
          <w:sz w:val="24"/>
        </w:rPr>
        <w:t xml:space="preserve">Nelson testimony, p. 17, line 16 - p. 18, line 2.   “The Settlement Agreement provides for ESPs that perform consolidated billing to receive billing credits on an avoided cost basis.  Currently, ESPs do not receive any billing credits from SoCalGas. The billing credits for SoCalGas proposed in the Settlement Agreement of $0.78 for each residential bill and $1.16 for each non-residential bill are related to utility cost savings in the areas of bill distribution, remittance processing, collections, uncollectible expenses, and billing inquiries.  These values are based on a SoCalGas study of 1997 data. </w:t>
      </w:r>
    </w:p>
    <w:p>
      <w:pPr>
        <w:pStyle w:val="BodyText"/>
        <w:ind w:start="2160" w:end="0"/>
        <w:rPr>
          <w:rFonts w:ascii="Times New Roman" w:hAnsi="Times New Roman" w:cs="Times New Roman"/>
        </w:rPr>
      </w:pPr>
      <w:r>
        <w:rPr>
          <w:rFonts w:cs="Times New Roman" w:ascii="Times New Roman" w:hAnsi="Times New Roman"/>
        </w:rPr>
        <w:t xml:space="preserve">Similarly, the billing credits for SDG&amp;E of $0.05 for each residential bill and $0.16 for each non-residential bill are related to utility cost savings in the area of uncollectible expenses.  SDG&amp;E currently provides avoided cost billing credits of $1.41 for residential customers who receive both gas and electric service from an ESP, and $1.58 for nonresidential customers who receive both gas and electric service from an ESP related to utility cost savings in the areas of bill distribution, remittance processing, collections, electric uncollectible expenses, and billing inquiries.  The additional avoided cost billing credit for SDG&amp;E would be for gas transportation uncollectible expenses.  These values are based on a SDG&amp;E study of 1997 data presented in application A.97-12-012.”   </w:t>
      </w:r>
    </w:p>
    <w:p>
      <w:pPr>
        <w:pStyle w:val="BodyText"/>
        <w:ind w:start="900" w:end="0"/>
        <w:rPr>
          <w:rFonts w:ascii="Times New Roman" w:hAnsi="Times New Roman" w:cs="Times New Roman"/>
        </w:rPr>
      </w:pPr>
      <w:r>
        <w:rPr>
          <w:rFonts w:cs="Times New Roman" w:ascii="Times New Roman" w:hAnsi="Times New Roman"/>
        </w:rPr>
      </w:r>
    </w:p>
    <w:p>
      <w:pPr>
        <w:pStyle w:val="BodyText"/>
        <w:ind w:start="2160" w:end="0"/>
        <w:rPr>
          <w:rFonts w:ascii="Times New Roman" w:hAnsi="Times New Roman" w:cs="Times New Roman"/>
        </w:rPr>
      </w:pPr>
      <w:r>
        <w:rPr>
          <w:rFonts w:cs="Times New Roman" w:ascii="Times New Roman" w:hAnsi="Times New Roman"/>
        </w:rPr>
        <w:t>The difference in credits between residential and non-residential represents differences in average class incremental costs of billing services.  The higher non-residential credit reflects higher costs primarily related to higher collections and uncollectible expense per customer related to higher average bills for non-residential customers.  In addition, the call center costs associated with bill inquiries is higher per customer for non-residential customers.</w:t>
      </w:r>
    </w:p>
    <w:p>
      <w:pPr>
        <w:pStyle w:val="Normal"/>
        <w:rPr>
          <w:rFonts w:ascii="Times New Roman" w:hAnsi="Times New Roman" w:cs="Times New Roman"/>
          <w:sz w:val="24"/>
        </w:rPr>
      </w:pPr>
      <w:r>
        <w:rPr>
          <w:rFonts w:cs="Times New Roman"/>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576"/>
        </w:tabs>
        <w:ind w:start="576" w:hanging="576"/>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keepNext w:val="true"/>
      <w:numPr>
        <w:ilvl w:val="1"/>
        <w:numId w:val="1"/>
      </w:numPr>
      <w:tabs>
        <w:tab w:val="left" w:pos="720" w:leader="none"/>
      </w:tabs>
      <w:spacing w:before="0" w:after="240"/>
      <w:ind w:hanging="360" w:start="720" w:end="0"/>
      <w:outlineLvl w:val="1"/>
    </w:pPr>
    <w:rPr>
      <w:b/>
      <w:i/>
      <w:sz w:val="24"/>
    </w:rPr>
  </w:style>
  <w:style w:type="paragraph" w:styleId="Heading3">
    <w:name w:val="heading 3"/>
    <w:basedOn w:val="Normal"/>
    <w:next w:val="BodyText"/>
    <w:qFormat/>
    <w:pPr>
      <w:keepNext w:val="true"/>
      <w:numPr>
        <w:ilvl w:val="2"/>
        <w:numId w:val="1"/>
      </w:numPr>
      <w:tabs>
        <w:tab w:val="clear" w:pos="720"/>
        <w:tab w:val="left" w:pos="1440" w:leader="none"/>
      </w:tabs>
      <w:spacing w:before="0" w:after="240"/>
      <w:ind w:hanging="504" w:start="1224" w:end="0"/>
      <w:outlineLvl w:val="2"/>
    </w:pPr>
    <w:rPr>
      <w:sz w:val="24"/>
    </w:rPr>
  </w:style>
  <w:style w:type="character" w:styleId="WW8Num2z0">
    <w:name w:val="WW8Num2z0"/>
    <w:qFormat/>
    <w:rPr>
      <w:rFonts w:ascii="Symbol" w:hAnsi="Symbol" w:cs="Symbol"/>
    </w:rPr>
  </w:style>
  <w:style w:type="character" w:styleId="WW8Num3z0">
    <w:name w:val="WW8Num3z0"/>
    <w:qFormat/>
    <w:rPr>
      <w:b w:val="false"/>
      <w:i w:val="false"/>
      <w:sz w:val="28"/>
    </w:rPr>
  </w:style>
  <w:style w:type="character" w:styleId="WW8Num4z0">
    <w:name w:val="WW8Num4z0"/>
    <w:qFormat/>
    <w:rPr/>
  </w:style>
  <w:style w:type="character" w:styleId="WW8Num5z0">
    <w:name w:val="WW8Num5z0"/>
    <w:qFormat/>
    <w:rPr>
      <w:rFonts w:ascii="Symbol" w:hAnsi="Symbol" w:cs="Symbol"/>
    </w:rPr>
  </w:style>
  <w:style w:type="character" w:styleId="WW8Num8z0">
    <w:name w:val="WW8Num8z0"/>
    <w:qFormat/>
    <w:rPr/>
  </w:style>
  <w:style w:type="character" w:styleId="WW8Num9z0">
    <w:name w:val="WW8Num9z0"/>
    <w:qFormat/>
    <w:rPr/>
  </w:style>
  <w:style w:type="character" w:styleId="WW8NumSt4z0">
    <w:name w:val="WW8NumSt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New" w:hAnsi="Courier New" w:cs="Courier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630" w:start="630" w:end="0"/>
    </w:pPr>
    <w:rPr>
      <w:rFonts w:ascii="Courier New" w:hAnsi="Courier New" w:cs="Courier New"/>
      <w:sz w:val="24"/>
    </w:rPr>
  </w:style>
  <w:style w:type="paragraph" w:styleId="BodyText2">
    <w:name w:val="Body Text 2"/>
    <w:basedOn w:val="Normal"/>
    <w:qFormat/>
    <w:pPr>
      <w:tabs>
        <w:tab w:val="clear" w:pos="720"/>
        <w:tab w:val="left" w:pos="3060" w:leader="none"/>
      </w:tabs>
    </w:pPr>
    <w:rPr>
      <w:i/>
      <w:sz w:val="28"/>
    </w:rPr>
  </w:style>
  <w:style w:type="paragraph" w:styleId="BodyTextIndent2">
    <w:name w:val="Body Text Indent 2"/>
    <w:basedOn w:val="Normal"/>
    <w:qFormat/>
    <w:pPr>
      <w:ind w:hanging="2160" w:start="2160" w:end="0"/>
    </w:pPr>
    <w:rPr>
      <w:sz w:val="24"/>
    </w:rPr>
  </w:style>
  <w:style w:type="paragraph" w:styleId="BodyText3">
    <w:name w:val="Body Text 3"/>
    <w:basedOn w:val="Normal"/>
    <w:qFormat/>
    <w:pPr>
      <w:jc w:val="center"/>
    </w:pPr>
    <w:rPr>
      <w:b/>
      <w:sz w:val="24"/>
      <w:lang w:eastAsia="en-US"/>
    </w:rPr>
  </w:style>
  <w:style w:type="paragraph" w:styleId="BodyTextIndent3">
    <w:name w:val="Body Text Indent 3"/>
    <w:basedOn w:val="Normal"/>
    <w:qFormat/>
    <w:pPr>
      <w:ind w:hanging="1440" w:start="1440" w:end="0"/>
    </w:pPr>
    <w:rPr>
      <w:sz w:val="24"/>
    </w:rPr>
  </w:style>
  <w:style w:type="paragraph" w:styleId="Bullet2">
    <w:name w:val="Bullet 2"/>
    <w:basedOn w:val="Normal"/>
    <w:qFormat/>
    <w:pPr>
      <w:spacing w:before="120" w:after="0"/>
      <w:ind w:hanging="576" w:start="936" w:end="0"/>
    </w:pPr>
    <w:rPr>
      <w:sz w:val="24"/>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2000-05-30T21:37:00Z</dcterms:created>
  <dc:creator>Sempra Energy</dc:creator>
  <dc:description/>
  <dc:language>en-CA</dc:language>
  <cp:lastModifiedBy>Sempra</cp:lastModifiedBy>
  <dcterms:modified xsi:type="dcterms:W3CDTF">2000-05-30T22:57:00Z</dcterms:modified>
  <cp:revision>39</cp:revision>
  <dc:subject/>
  <dc:title>Q</dc:title>
</cp:coreProperties>
</file>