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BodyText2"/>
        <w:rPr/>
      </w:pPr>
      <w:r>
        <w:rPr/>
        <w:t>Gas Industry Restructuring</w:t>
        <w:br/>
        <w:t>OII 99-07-003</w:t>
        <w:br/>
        <w:t xml:space="preserve">Comprehensive Settlement Questions/Requests of </w:t>
        <w:br/>
        <w:t>Administrative Law Judge Andrea Biren</w:t>
      </w:r>
    </w:p>
    <w:p>
      <w:pPr>
        <w:pStyle w:val="Normal"/>
        <w:jc w:val="center"/>
        <w:rPr>
          <w:b/>
          <w:lang w:eastAsia="en-US"/>
        </w:rPr>
      </w:pPr>
      <w:r>
        <w:rPr>
          <w:b/>
          <w:lang w:eastAsia="en-US"/>
        </w:rPr>
      </w:r>
    </w:p>
    <w:p>
      <w:pPr>
        <w:pStyle w:val="Normal"/>
        <w:rPr/>
      </w:pPr>
      <w:r>
        <w:rPr>
          <w:b/>
          <w:lang w:eastAsia="en-US"/>
        </w:rPr>
        <w:br/>
        <w:t>Q.6.Pg. 1:</w:t>
        <w:tab/>
      </w:r>
      <w:r>
        <w:rPr/>
        <w:t>Provide two alternative charts that do not depend on class average rates.</w:t>
      </w:r>
    </w:p>
    <w:p>
      <w:pPr>
        <w:pStyle w:val="Normal"/>
        <w:ind w:firstLine="60" w:start="1440" w:end="0"/>
        <w:rPr/>
      </w:pPr>
      <w:r>
        <w:rPr/>
        <w:t>For different customers the net effect on rates could vary depending on the load factor of the customer, since part of the revenue recovery will be based on a demand charge under the Comprehensive Settlement. So use high and low load factor examples.</w:t>
      </w:r>
    </w:p>
    <w:p>
      <w:pPr>
        <w:pStyle w:val="Normal"/>
        <w:rPr/>
      </w:pPr>
      <w:r>
        <w:rPr/>
      </w:r>
    </w:p>
    <w:p>
      <w:pPr>
        <w:pStyle w:val="Normal"/>
        <w:ind w:hanging="1440" w:start="1440" w:end="0"/>
        <w:rPr/>
      </w:pPr>
      <w:r>
        <w:rPr>
          <w:b/>
        </w:rPr>
        <w:t>R.6.Pg 1:</w:t>
        <w:tab/>
      </w:r>
      <w:r>
        <w:rPr/>
        <w:t xml:space="preserve">The basic premise of this question is incorrect.  SoCalGas believes that the costs and rates in Attachments 8 and 9 are fairly indicative of the impacts on customers with both low and high consumption load factors under the CSA.  For example, as is the case on the SoCalGas system today, all-volumetric rates have the same impact on both sets of customers.  As explained in the testimony of Mr. Beach (Figure 1), low load factor customers will have the opportunity to make all-volumetric purchases through secondary markets at the new Los Angeles Citygate (similar to the way most PG&amp;E customers purchase gas under the Accord) or through the as-available market.  If the PG&amp;E experience is any indication, the annual average cost of these all-volumetric purchases could be below the cost of the 7.2 cent/dth SFV backbone tariff rate.  </w:t>
      </w:r>
    </w:p>
    <w:p>
      <w:pPr>
        <w:pStyle w:val="Normal"/>
        <w:rPr/>
      </w:pPr>
      <w:r>
        <w:rPr/>
      </w:r>
    </w:p>
    <w:p>
      <w:pPr>
        <w:pStyle w:val="Normal"/>
        <w:ind w:start="1440" w:end="0"/>
        <w:rPr/>
      </w:pPr>
      <w:r>
        <w:rPr/>
        <w:t>Even if customers with low-load factors (based on burn pattern) go into the backbone transmission open season, there need not be a significant difference in their annual average backbone capacity costs vis-à-vis a high-load factor (based on burn pattern) customer.  A low load factor burn customers can become a high load factor purchase customer (i.e., net annual capacity purchases divided by annual average burn equals 7.2 cents/dth) by appropriately adjusting their capacity purchases/sales patterns.  For example, a generator could buy capacity near peak levels for the year, but then sell most of the capacity most of the time in the secondary market to offset the original purchase.  Or, the generator could buy a lower level of SFV annual capacity near baseload levels and use SoCalGas' generous balancing provisions to swing up toward peak levels, purchasing imbalance chips or storage rights in the secondary market from other customer on OFO days, when necessary.</w:t>
      </w:r>
    </w:p>
    <w:p>
      <w:pPr>
        <w:pStyle w:val="Normal"/>
        <w:rPr/>
      </w:pPr>
      <w:r>
        <w:rPr/>
      </w:r>
    </w:p>
    <w:p>
      <w:pPr>
        <w:pStyle w:val="Normal"/>
        <w:ind w:start="1440" w:end="0"/>
        <w:rPr/>
      </w:pPr>
      <w:r>
        <w:rPr/>
        <w:t>SoCalGas will be developing examples of these alternative purchasing strategies.  Ultimately, low load factor customers within a class will have slightly higher gas costs to the extent that the market dictates they should because of the costs of serving such customers.  The marketplace may just as well result in cost savings to such customers if they choose not to make long-term capacity commitments and instead rely upon daily all-volumetric markets and significant discounting is occurring in those markets.</w:t>
      </w:r>
    </w:p>
    <w:p>
      <w:pPr>
        <w:pStyle w:val="Normal"/>
        <w:rPr/>
      </w:pPr>
      <w:r>
        <w:rPr/>
      </w:r>
    </w:p>
    <w:p>
      <w:pPr>
        <w:pStyle w:val="Normal"/>
        <w:rPr/>
      </w:pPr>
      <w:r>
        <w:rPr/>
      </w:r>
    </w:p>
    <w:p>
      <w:pPr>
        <w:pStyle w:val="Normal"/>
        <w:ind w:hanging="1440" w:start="1440" w:end="0"/>
        <w:rPr/>
      </w:pPr>
      <w:r>
        <w:rPr>
          <w:b/>
        </w:rPr>
        <w:t>Q.7. Pg. 1:</w:t>
        <w:tab/>
      </w:r>
      <w:r>
        <w:rPr/>
        <w:t>Does the Settlement Agreement have any impact on the RLS tariff or how the RLS rate is calculated? Regarding the Commission’s BCAP decision on the RLS tariff:  is it still necessary to develop a peaking rate?  Does the Agreement provide SoCalGas the flexibility to either retain, modify or terminate the RLS tariff?</w:t>
      </w:r>
    </w:p>
    <w:p>
      <w:pPr>
        <w:pStyle w:val="Normal"/>
        <w:rPr>
          <w:b/>
        </w:rPr>
      </w:pPr>
      <w:r>
        <w:rPr>
          <w:b/>
        </w:rPr>
      </w:r>
    </w:p>
    <w:p>
      <w:pPr>
        <w:pStyle w:val="Normal"/>
        <w:ind w:hanging="1440" w:start="1440" w:end="0"/>
        <w:rPr/>
      </w:pPr>
      <w:r>
        <w:rPr>
          <w:b/>
        </w:rPr>
        <w:t>R.7. Pg 1:</w:t>
        <w:tab/>
      </w:r>
      <w:r>
        <w:rPr/>
        <w:t>The CSA is silent with respect to the RLS tariff or how the RLS rate would be calculated upon approval of the CSA.  Regarding the Commission’s 1999 BCAP Decision on the RLS tariff, SoCalGas will comply with D.00-04-060 and file a proposed peaking rate on June 19, 2000.  Settlement parties to the CSA are free to take whatever positions they wish with respect to that separate filing.  The CSA does not provide SoCalGas the flexibility to retain, modify or terminate the existing RLS tariff.  The existing RLS tariff will remain in effect until modified by the Commission.</w:t>
      </w:r>
    </w:p>
    <w:p>
      <w:pPr>
        <w:pStyle w:val="Normal"/>
        <w:rPr/>
      </w:pPr>
      <w:r>
        <w:rPr/>
      </w:r>
    </w:p>
    <w:p>
      <w:pPr>
        <w:pStyle w:val="Normal"/>
        <w:rPr>
          <w:b/>
        </w:rPr>
      </w:pPr>
      <w:r>
        <w:rPr>
          <w:b/>
        </w:rPr>
      </w:r>
    </w:p>
    <w:p>
      <w:pPr>
        <w:pStyle w:val="Normal"/>
        <w:rPr>
          <w:b/>
        </w:rPr>
      </w:pPr>
      <w:r>
        <w:rPr>
          <w:b/>
        </w:rPr>
      </w:r>
    </w:p>
    <w:p>
      <w:pPr>
        <w:pStyle w:val="Normal"/>
        <w:rPr/>
      </w:pPr>
      <w:r>
        <w:rPr>
          <w:b/>
        </w:rPr>
        <w:t>Q.9. Pg. 1:</w:t>
        <w:tab/>
      </w:r>
      <w:r>
        <w:rPr/>
        <w:t>Explain “citygate” in the context of the SoCalGas  system.</w:t>
      </w:r>
    </w:p>
    <w:p>
      <w:pPr>
        <w:pStyle w:val="Normal"/>
        <w:rPr/>
      </w:pPr>
      <w:r>
        <w:rPr/>
      </w:r>
    </w:p>
    <w:p>
      <w:pPr>
        <w:pStyle w:val="Normal"/>
        <w:ind w:hanging="1440" w:start="1440" w:end="0"/>
        <w:rPr/>
      </w:pPr>
      <w:r>
        <w:rPr>
          <w:b/>
        </w:rPr>
        <w:t>R.9. Pg. 1:</w:t>
        <w:tab/>
      </w:r>
      <w:r>
        <w:rPr/>
        <w:t xml:space="preserve">Citygate means the points at which the backbone system intersects the local transmission system.  </w:t>
      </w:r>
    </w:p>
    <w:p>
      <w:pPr>
        <w:pStyle w:val="Normal"/>
        <w:rPr/>
      </w:pPr>
      <w:r>
        <w:rPr/>
      </w:r>
    </w:p>
    <w:p>
      <w:pPr>
        <w:pStyle w:val="Normal"/>
        <w:rPr>
          <w:b/>
        </w:rPr>
      </w:pPr>
      <w:r>
        <w:rPr>
          <w:b/>
        </w:rPr>
      </w:r>
    </w:p>
    <w:p>
      <w:pPr>
        <w:pStyle w:val="Normal"/>
        <w:rPr>
          <w:b/>
        </w:rPr>
      </w:pPr>
      <w:r>
        <w:rPr>
          <w:b/>
        </w:rPr>
      </w:r>
    </w:p>
    <w:p>
      <w:pPr>
        <w:pStyle w:val="Normal"/>
        <w:rPr>
          <w:b/>
        </w:rPr>
      </w:pPr>
      <w:r>
        <w:rPr>
          <w:b/>
        </w:rPr>
      </w:r>
    </w:p>
    <w:p>
      <w:pPr>
        <w:pStyle w:val="Normal"/>
        <w:rPr/>
      </w:pPr>
      <w:r>
        <w:rPr>
          <w:b/>
        </w:rPr>
        <w:t>Q.10. Pg. 2</w:t>
        <w:tab/>
      </w:r>
      <w:r>
        <w:rPr/>
        <w:t>What is a “core sales customer”?</w:t>
      </w:r>
    </w:p>
    <w:p>
      <w:pPr>
        <w:pStyle w:val="Normal"/>
        <w:rPr/>
      </w:pPr>
      <w:r>
        <w:rPr/>
      </w:r>
    </w:p>
    <w:p>
      <w:pPr>
        <w:pStyle w:val="Normal"/>
        <w:rPr/>
      </w:pPr>
      <w:r>
        <w:rPr>
          <w:b/>
        </w:rPr>
        <w:t>R.9. Pg. 2:</w:t>
        <w:tab/>
      </w:r>
      <w:r>
        <w:rPr/>
        <w:t>A customer who relies on the SoCalGas Gas Acquisition department, rather than an aggregator, to make their commodity purchases.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2"/>
        <w:rPr/>
      </w:pPr>
      <w:r>
        <w:rPr/>
        <w:t>Gas Industry Restructuring</w:t>
        <w:br/>
        <w:t>OII 99-07-003</w:t>
        <w:br/>
        <w:t xml:space="preserve">Comprehensive Settlement Questions/Requests of </w:t>
        <w:br/>
        <w:t>Administrative Law Judge Andrea Biren</w:t>
      </w:r>
    </w:p>
    <w:p>
      <w:pPr>
        <w:pStyle w:val="Normal"/>
        <w:jc w:val="center"/>
        <w:rPr>
          <w:b/>
          <w:lang w:eastAsia="en-US"/>
        </w:rPr>
      </w:pPr>
      <w:r>
        <w:rPr>
          <w:b/>
          <w:lang w:eastAsia="en-US"/>
        </w:rPr>
      </w:r>
    </w:p>
    <w:p>
      <w:pPr>
        <w:pStyle w:val="Normal"/>
        <w:rPr>
          <w:b/>
          <w:lang w:eastAsia="en-US"/>
        </w:rPr>
      </w:pPr>
      <w:r>
        <w:rPr>
          <w:b/>
          <w:lang w:eastAsia="en-US"/>
        </w:rPr>
      </w:r>
    </w:p>
    <w:p>
      <w:pPr>
        <w:pStyle w:val="Normal"/>
        <w:rPr/>
      </w:pPr>
      <w:r>
        <w:rPr/>
      </w:r>
    </w:p>
    <w:p>
      <w:pPr>
        <w:pStyle w:val="Normal"/>
        <w:ind w:hanging="2160" w:start="2160" w:end="0"/>
        <w:rPr/>
      </w:pPr>
      <w:r>
        <w:rPr>
          <w:b/>
        </w:rPr>
        <w:t xml:space="preserve">Q.1.6.1.1, Pg.2: </w:t>
        <w:tab/>
      </w:r>
      <w:r>
        <w:rPr/>
        <w:t xml:space="preserve">During the current PBR term, will the additional $2 million in revenue requirement be added to the gas margin authorized under the PBR, included in a new calculation of the revenue requirement per customer, and then escalated in 2001 and 2002? </w:t>
      </w:r>
    </w:p>
    <w:p>
      <w:pPr>
        <w:pStyle w:val="Normal"/>
        <w:ind w:firstLine="720" w:start="1440" w:end="0"/>
        <w:rPr/>
      </w:pPr>
      <w:r>
        <w:rPr/>
        <w:t>Is the $2 million a fixed amount or will it be escalated?</w:t>
      </w:r>
    </w:p>
    <w:p>
      <w:pPr>
        <w:pStyle w:val="Normal"/>
        <w:ind w:start="2160" w:end="0"/>
        <w:rPr/>
      </w:pPr>
      <w:r>
        <w:rPr/>
        <w:t>What will the $2 million be spent on?  If  there is only a partial recovery (less than $2million), does SoCal keep the  $2 million in rates AND the partial recovery?  What is period for rates and recovery? Why should Gas Acquisition Department core customers be allocated any of the $2 million?  What are they getting for it?</w:t>
      </w:r>
    </w:p>
    <w:p>
      <w:pPr>
        <w:pStyle w:val="Normal"/>
        <w:ind w:start="2160" w:end="0"/>
        <w:rPr/>
      </w:pPr>
      <w:r>
        <w:rPr/>
      </w:r>
    </w:p>
    <w:p>
      <w:pPr>
        <w:pStyle w:val="Normal"/>
        <w:rPr/>
      </w:pPr>
      <w:r>
        <w:rPr/>
      </w:r>
    </w:p>
    <w:p>
      <w:pPr>
        <w:pStyle w:val="Normal"/>
        <w:ind w:hanging="2160" w:start="2160" w:end="0"/>
        <w:rPr/>
      </w:pPr>
      <w:r>
        <w:rPr>
          <w:b/>
        </w:rPr>
        <w:t>R.1.6.1.1, Pg. 2:</w:t>
        <w:tab/>
      </w:r>
      <w:r>
        <w:rPr/>
        <w:t>Yes.  The $2 million/year is a fixed amount that will be spent on the new trading/informational/billing systems necessary to implement the "capacity-related" portions of the CSA.  See the attached response to the SCGC Data Request 4, Question 2 for the detail on how those dollars would be spent.  The impact of those additional implementation costs is reflected in Lorenz's Attachments 8, 9.  The impact on ratepayers will certainly be $2 million/year through 2002.  The impact into the next PBR proceeding would have to be assessed in that proceeding.</w:t>
      </w:r>
    </w:p>
    <w:p>
      <w:pPr>
        <w:pStyle w:val="Normal"/>
        <w:rPr/>
      </w:pPr>
      <w:r>
        <w:rPr/>
      </w:r>
    </w:p>
    <w:p>
      <w:pPr>
        <w:pStyle w:val="Normal"/>
        <w:ind w:start="2160" w:end="0"/>
        <w:rPr/>
      </w:pPr>
      <w:r>
        <w:rPr/>
        <w:t>Like all other customers, the Gas Acquisition department will benefit from the following:</w:t>
      </w:r>
    </w:p>
    <w:p>
      <w:pPr>
        <w:pStyle w:val="Normal"/>
        <w:rPr/>
      </w:pPr>
      <w:r>
        <w:rPr/>
      </w:r>
    </w:p>
    <w:p>
      <w:pPr>
        <w:pStyle w:val="Normal"/>
        <w:numPr>
          <w:ilvl w:val="0"/>
          <w:numId w:val="2"/>
        </w:numPr>
        <w:tabs>
          <w:tab w:val="clear" w:pos="720"/>
          <w:tab w:val="left" w:pos="2520" w:leader="none"/>
        </w:tabs>
        <w:ind w:hanging="360" w:start="2520" w:end="0"/>
        <w:rPr/>
      </w:pPr>
      <w:r>
        <w:rPr/>
        <w:t>Citygate (and receipt point) pooling</w:t>
      </w:r>
    </w:p>
    <w:p>
      <w:pPr>
        <w:pStyle w:val="Normal"/>
        <w:numPr>
          <w:ilvl w:val="0"/>
          <w:numId w:val="2"/>
        </w:numPr>
        <w:tabs>
          <w:tab w:val="clear" w:pos="720"/>
          <w:tab w:val="left" w:pos="2520" w:leader="none"/>
        </w:tabs>
        <w:ind w:hanging="360" w:start="2520" w:end="0"/>
        <w:rPr/>
      </w:pPr>
      <w:r>
        <w:rPr/>
        <w:t>Secondary market trading of storage rights</w:t>
      </w:r>
    </w:p>
    <w:p>
      <w:pPr>
        <w:pStyle w:val="Normal"/>
        <w:numPr>
          <w:ilvl w:val="0"/>
          <w:numId w:val="2"/>
        </w:numPr>
        <w:tabs>
          <w:tab w:val="clear" w:pos="720"/>
          <w:tab w:val="left" w:pos="2520" w:leader="none"/>
        </w:tabs>
        <w:ind w:hanging="360" w:start="2520" w:end="0"/>
        <w:rPr/>
      </w:pPr>
      <w:r>
        <w:rPr/>
        <w:t>Secondary market trading of intrastate transmission rights</w:t>
      </w:r>
    </w:p>
    <w:p>
      <w:pPr>
        <w:pStyle w:val="Normal"/>
        <w:numPr>
          <w:ilvl w:val="0"/>
          <w:numId w:val="2"/>
        </w:numPr>
        <w:tabs>
          <w:tab w:val="clear" w:pos="720"/>
          <w:tab w:val="left" w:pos="2520" w:leader="none"/>
        </w:tabs>
        <w:ind w:hanging="360" w:start="2520" w:end="0"/>
        <w:rPr/>
      </w:pPr>
      <w:r>
        <w:rPr/>
        <w:t>Imbalance chip trading on OFO days</w:t>
      </w:r>
    </w:p>
    <w:p>
      <w:pPr>
        <w:pStyle w:val="Normal"/>
        <w:numPr>
          <w:ilvl w:val="0"/>
          <w:numId w:val="2"/>
        </w:numPr>
        <w:tabs>
          <w:tab w:val="clear" w:pos="720"/>
          <w:tab w:val="left" w:pos="2520" w:leader="none"/>
        </w:tabs>
        <w:ind w:hanging="360" w:start="2520" w:end="0"/>
        <w:rPr/>
      </w:pPr>
      <w:r>
        <w:rPr/>
        <w:t>Greater operational and transactional information</w:t>
      </w:r>
    </w:p>
    <w:p>
      <w:pPr>
        <w:pStyle w:val="Normal"/>
        <w:rPr/>
      </w:pPr>
      <w:r>
        <w:rPr/>
      </w:r>
    </w:p>
    <w:p>
      <w:pPr>
        <w:pStyle w:val="Normal"/>
        <w:rPr/>
      </w:pPr>
      <w:r>
        <w:rPr/>
      </w:r>
    </w:p>
    <w:p>
      <w:pPr>
        <w:pStyle w:val="Normal"/>
        <w:rPr/>
      </w:pPr>
      <w:r>
        <w:rPr>
          <w:b/>
        </w:rPr>
        <w:t>Q.App. B:</w:t>
        <w:tab/>
        <w:tab/>
      </w:r>
      <w:r>
        <w:rPr/>
        <w:t>What/where is OXY?</w:t>
      </w:r>
    </w:p>
    <w:p>
      <w:pPr>
        <w:pStyle w:val="Normal"/>
        <w:rPr/>
      </w:pPr>
      <w:r>
        <w:rPr/>
      </w:r>
    </w:p>
    <w:p>
      <w:pPr>
        <w:pStyle w:val="Normal"/>
        <w:ind w:hanging="2160" w:start="2160" w:end="0"/>
        <w:rPr/>
      </w:pPr>
      <w:r>
        <w:rPr>
          <w:b/>
        </w:rPr>
        <w:t>R.App. B:</w:t>
        <w:tab/>
      </w:r>
      <w:r>
        <w:rPr/>
        <w:t>OXY is Occidental Petroleum.  This firm is based in Los Angeles and purchased the former Elk Hills Petroleum Reserves for approximately  $ 3 billion.</w:t>
      </w:r>
    </w:p>
    <w:p>
      <w:pPr>
        <w:pStyle w:val="Normal"/>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lang w:eastAsia="en-US"/>
    </w:rPr>
  </w:style>
  <w:style w:type="paragraph" w:styleId="Heading2">
    <w:name w:val="heading 2"/>
    <w:basedOn w:val="Normal"/>
    <w:next w:val="Normal"/>
    <w:qFormat/>
    <w:pPr>
      <w:keepNext w:val="true"/>
      <w:numPr>
        <w:ilvl w:val="1"/>
        <w:numId w:val="1"/>
      </w:numPr>
      <w:outlineLvl w:val="1"/>
    </w:pPr>
    <w:rPr>
      <w:sz w:val="28"/>
      <w:u w:val="single"/>
      <w:lang w:eastAsia="en-U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1440" w:start="1440" w:end="0"/>
    </w:pPr>
    <w:rPr>
      <w:sz w:val="28"/>
      <w:lang w:eastAsia="en-US"/>
    </w:rPr>
  </w:style>
  <w:style w:type="paragraph" w:styleId="BodyTextIndent3">
    <w:name w:val="Body Text Indent 3"/>
    <w:basedOn w:val="Normal"/>
    <w:qFormat/>
    <w:pPr>
      <w:ind w:firstLine="720" w:start="720" w:end="0"/>
    </w:pPr>
    <w:rPr>
      <w:sz w:val="28"/>
      <w:lang w:eastAsia="en-US"/>
    </w:rPr>
  </w:style>
  <w:style w:type="paragraph" w:styleId="BodyTextIndent">
    <w:name w:val="Body Text Indent"/>
    <w:basedOn w:val="Normal"/>
    <w:pPr>
      <w:ind w:hanging="0" w:start="90" w:end="0"/>
    </w:pPr>
    <w:rPr>
      <w:sz w:val="28"/>
      <w:lang w:eastAsia="en-US"/>
    </w:rPr>
  </w:style>
  <w:style w:type="paragraph" w:styleId="BodyText2">
    <w:name w:val="Body Text 2"/>
    <w:basedOn w:val="Normal"/>
    <w:qFormat/>
    <w:pPr>
      <w:jc w:val="center"/>
    </w:pPr>
    <w:rPr>
      <w:b/>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2000-05-31T00:25:00Z</dcterms:created>
  <dc:creator>Andrea L. Biren</dc:creator>
  <dc:description/>
  <dc:language>en-CA</dc:language>
  <cp:lastModifiedBy>Sempra</cp:lastModifiedBy>
  <dcterms:modified xsi:type="dcterms:W3CDTF">2000-05-31T00:39:00Z</dcterms:modified>
  <cp:revision>4</cp:revision>
  <dc:subject/>
  <dc:title>Comprehensive Settlement Questions/Requests</dc:title>
</cp:coreProperties>
</file>