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footnotes.xml" ContentType="application/vnd.openxmlformats-officedocument.wordprocessingml.footnote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media/image1.wmf" ContentType="image/x-wmf"/>
  <Override PartName="/word/media/image2.png" ContentType="image/png"/>
  <Override PartName="/word/header5.xml" ContentType="application/vnd.openxmlformats-officedocument.wordprocessingml.head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pPr>
      <w:r>
        <w:rPr/>
        <w:t>October 14, 1999</w:t>
      </w:r>
    </w:p>
    <w:p>
      <w:pPr>
        <w:pStyle w:val="Normal"/>
        <w:widowControl/>
        <w:spacing w:lineRule="auto" w:line="360"/>
        <w:rPr/>
      </w:pPr>
      <w:r>
        <w:rPr/>
      </w:r>
    </w:p>
    <w:p>
      <w:pPr>
        <w:pStyle w:val="Normal"/>
        <w:widowControl/>
        <w:spacing w:lineRule="auto" w:line="360"/>
        <w:rPr/>
      </w:pPr>
      <w:r>
        <w:rPr/>
      </w:r>
    </w:p>
    <w:p>
      <w:pPr>
        <w:pStyle w:val="Normal"/>
        <w:widowControl/>
        <w:spacing w:lineRule="auto" w:line="240"/>
        <w:rPr>
          <w:u w:val="single"/>
        </w:rPr>
      </w:pPr>
      <w:r>
        <w:rPr>
          <w:u w:val="single"/>
        </w:rPr>
        <w:t>SoCalGas Advice No. 2793-B</w:t>
      </w:r>
    </w:p>
    <w:p>
      <w:pPr>
        <w:pStyle w:val="Normal"/>
        <w:widowControl/>
        <w:spacing w:lineRule="auto" w:line="240"/>
        <w:rPr/>
      </w:pPr>
      <w:r>
        <w:rPr/>
        <w:t>(U-904-G)</w:t>
      </w:r>
    </w:p>
    <w:p>
      <w:pPr>
        <w:pStyle w:val="Normal"/>
        <w:widowControl/>
        <w:spacing w:lineRule="auto" w:line="240"/>
        <w:rPr/>
      </w:pPr>
      <w:r>
        <w:rPr/>
      </w:r>
    </w:p>
    <w:p>
      <w:pPr>
        <w:pStyle w:val="Normal"/>
        <w:widowControl/>
        <w:spacing w:lineRule="auto" w:line="240"/>
        <w:rPr/>
      </w:pPr>
      <w:r>
        <w:rPr/>
        <w:t>Public Utilities Commission of the State of California</w:t>
      </w:r>
    </w:p>
    <w:p>
      <w:pPr>
        <w:pStyle w:val="Normal"/>
        <w:widowControl/>
        <w:spacing w:lineRule="auto" w:line="240"/>
        <w:rPr/>
      </w:pPr>
      <w:r>
        <w:rPr/>
      </w:r>
    </w:p>
    <w:p>
      <w:pPr>
        <w:pStyle w:val="Normal"/>
        <w:widowControl/>
        <w:spacing w:lineRule="auto" w:line="240"/>
        <w:rPr>
          <w:b/>
        </w:rPr>
      </w:pPr>
      <w:r>
        <w:rPr>
          <w:b/>
        </w:rPr>
        <w:t>Subject:  Energy Marketplace</w:t>
      </w:r>
    </w:p>
    <w:p>
      <w:pPr>
        <w:pStyle w:val="Normal"/>
        <w:widowControl/>
        <w:spacing w:lineRule="auto" w:line="240"/>
        <w:rPr>
          <w:b/>
        </w:rPr>
      </w:pPr>
      <w:r>
        <w:rPr>
          <w:b/>
        </w:rPr>
      </w:r>
    </w:p>
    <w:p>
      <w:pPr>
        <w:pStyle w:val="Normal"/>
        <w:widowControl/>
        <w:spacing w:lineRule="auto" w:line="240"/>
        <w:rPr/>
      </w:pPr>
      <w:r>
        <w:rPr/>
        <w:t>Sempra Energy, on behalf of Southern California Gas Company (“SoCalGas”), hereby submits for filing with the Commission, this second Supplemental Advice No. 2793-B in support of SoCalGas’ Energy Marketplace World Wide Web site.</w:t>
      </w:r>
    </w:p>
    <w:p>
      <w:pPr>
        <w:pStyle w:val="Normal"/>
        <w:widowControl/>
        <w:spacing w:lineRule="auto" w:line="240"/>
        <w:rPr/>
      </w:pPr>
      <w:r>
        <w:rPr/>
      </w:r>
    </w:p>
    <w:p>
      <w:pPr>
        <w:pStyle w:val="Normal"/>
        <w:widowControl/>
        <w:spacing w:lineRule="auto" w:line="240"/>
        <w:rPr>
          <w:b/>
        </w:rPr>
      </w:pPr>
      <w:r>
        <w:rPr>
          <w:b/>
        </w:rPr>
        <w:t>I.</w:t>
        <w:tab/>
        <w:t>Background</w:t>
      </w:r>
    </w:p>
    <w:p>
      <w:pPr>
        <w:pStyle w:val="Normal"/>
        <w:widowControl/>
        <w:spacing w:lineRule="auto" w:line="240"/>
        <w:rPr/>
      </w:pPr>
      <w:r>
        <w:rPr/>
      </w:r>
    </w:p>
    <w:p>
      <w:pPr>
        <w:pStyle w:val="Normal"/>
        <w:widowControl/>
        <w:spacing w:lineRule="auto" w:line="240"/>
        <w:rPr/>
      </w:pPr>
      <w:r>
        <w:rPr/>
        <w:t xml:space="preserve">On March 15, 1999, in compliance with California Public Utilities Commission (“Commission”) Decision No. (D.) 99-02-059, SoCalGas filed Advice No. 2793 in support of an electricity platform enhancement to Energy Marketplace.  On April 5, 1999, Enron Corporation (“Enron”) submitted its protest to Advice No. 2793.  On April 22, 1999, the Office of Ratepayer Advocates (“ORA”) submitted a letter in support of Enron’s protest (Enron and ORA are, collectively, the “Protestants”).  </w:t>
      </w:r>
    </w:p>
    <w:p>
      <w:pPr>
        <w:pStyle w:val="Normal"/>
        <w:widowControl/>
        <w:spacing w:lineRule="auto" w:line="240"/>
        <w:rPr/>
      </w:pPr>
      <w:r>
        <w:rPr/>
      </w:r>
    </w:p>
    <w:p>
      <w:pPr>
        <w:pStyle w:val="Normal"/>
        <w:widowControl/>
        <w:rPr/>
      </w:pPr>
      <w:r>
        <w:rPr/>
        <w:t>On July 8, 1999, SoCalGas filed Advice No. 2793-A with the intent of resolving Protestants’ concerns.  Advice No. 2793-A included a Section V., Future of Energy Marketplace, arguing that California Public Utilities Code Section 851, which requires Commission approval prior to the sale of utility property, does not apply to an intended sale of Energy Marketplace.  Enron filed a protest to Advice No. 2793-A limited to this Section V. text.</w:t>
      </w:r>
    </w:p>
    <w:p>
      <w:pPr>
        <w:pStyle w:val="Normal"/>
        <w:widowControl/>
        <w:rPr/>
      </w:pPr>
      <w:r>
        <w:rPr/>
      </w:r>
    </w:p>
    <w:p>
      <w:pPr>
        <w:pStyle w:val="Normal"/>
        <w:widowControl/>
        <w:rPr/>
      </w:pPr>
      <w:r>
        <w:rPr/>
        <w:t>Effective as of September 1, 1999, SoCalGas granted a revocable license to Excelergy Corporation (“Excelergy”) to operate Energy Marketplace with the intent that the website would eventually be sold to Excelergy (“License Agreement”).</w:t>
      </w:r>
    </w:p>
    <w:p>
      <w:pPr>
        <w:pStyle w:val="Normal"/>
        <w:widowControl/>
        <w:rPr/>
      </w:pPr>
      <w:r>
        <w:rPr/>
      </w:r>
    </w:p>
    <w:p>
      <w:pPr>
        <w:pStyle w:val="Normal"/>
        <w:widowControl/>
        <w:rPr/>
      </w:pPr>
      <w:r>
        <w:rPr/>
        <w:t>In the interest of seeking expedited resolution of Advice No. 2793, SoCalGas submits this second Supplemental Advice Letter, which is substantially the same as Advice No. 2793-A but does not discuss Section 851</w:t>
      </w:r>
      <w:r>
        <w:rPr>
          <w:rStyle w:val="FootnoteCharacters"/>
          <w:rStyle w:val="FootnoteReference"/>
          <w:u w:val="single"/>
        </w:rPr>
        <w:footnoteReference w:id="2"/>
      </w:r>
      <w:r>
        <w:rPr>
          <w:vertAlign w:val="superscript"/>
        </w:rPr>
        <w:t>/</w:t>
      </w:r>
      <w:r>
        <w:rPr/>
        <w:t>.  SoCalGas will use the Section 851 Application process to address the sale of Energy Marketplace and the applicability of Section 851 thereto.</w:t>
      </w:r>
    </w:p>
    <w:p>
      <w:pPr>
        <w:pStyle w:val="Normal"/>
        <w:widowControl/>
        <w:spacing w:lineRule="auto" w:line="240"/>
        <w:rPr/>
      </w:pPr>
      <w:r>
        <w:rPr/>
      </w:r>
    </w:p>
    <w:p>
      <w:pPr>
        <w:pStyle w:val="Normal"/>
        <w:widowControl/>
        <w:spacing w:lineRule="auto" w:line="240"/>
        <w:rPr>
          <w:b/>
        </w:rPr>
      </w:pPr>
      <w:r>
        <w:rPr>
          <w:b/>
        </w:rPr>
        <w:t>II.</w:t>
        <w:tab/>
        <w:t>Funding of Energy Marketplace</w:t>
      </w:r>
    </w:p>
    <w:p>
      <w:pPr>
        <w:pStyle w:val="Normal"/>
        <w:widowControl/>
        <w:spacing w:lineRule="auto" w:line="240"/>
        <w:rPr>
          <w:b/>
        </w:rPr>
      </w:pPr>
      <w:r>
        <w:rPr>
          <w:b/>
        </w:rPr>
      </w:r>
    </w:p>
    <w:p>
      <w:pPr>
        <w:pStyle w:val="Normal"/>
        <w:widowControl/>
        <w:spacing w:lineRule="auto" w:line="240"/>
        <w:rPr/>
      </w:pPr>
      <w:r>
        <w:rPr/>
        <w:t>To address Protestants’ concerns about ratepayer subsidization of Energy Marketplace, Energy Marketplace is not funded in the current Performance Based Ratemaking (PBR) decision, D.97-07-054, for base rates effective August 1, 1997, nor was it funded in the 1994 General Rate Case.  Consequently, expenses for Energy Marketplace have not been included in rates, and no inclusion will be requested in future PBR proceedings.  To date, all expenses have been properly reported pursuant to Affiliate Transaction Rule VII.H. (promulgated in D.97-12-088) in SoCalGas’ Semi-Annual Report of Nontariffed Products and Services.  Energy Marketplace has been completely funded by shareholders and will continue to be funded solely by shareholders.</w:t>
      </w:r>
    </w:p>
    <w:p>
      <w:pPr>
        <w:pStyle w:val="Normal"/>
        <w:widowControl/>
        <w:spacing w:lineRule="auto" w:line="240"/>
        <w:rPr/>
      </w:pPr>
      <w:r>
        <w:rPr/>
      </w:r>
    </w:p>
    <w:p>
      <w:pPr>
        <w:pStyle w:val="Normal"/>
        <w:widowControl/>
        <w:spacing w:lineRule="auto" w:line="240"/>
        <w:rPr>
          <w:b/>
        </w:rPr>
      </w:pPr>
      <w:r>
        <w:rPr>
          <w:b/>
        </w:rPr>
        <w:t xml:space="preserve">III. </w:t>
        <w:tab/>
        <w:t>Confidentiality of Supplier Information</w:t>
      </w:r>
    </w:p>
    <w:p>
      <w:pPr>
        <w:pStyle w:val="Normal"/>
        <w:widowControl/>
        <w:spacing w:lineRule="auto" w:line="240"/>
        <w:rPr/>
      </w:pPr>
      <w:r>
        <w:rPr/>
      </w:r>
    </w:p>
    <w:p>
      <w:pPr>
        <w:pStyle w:val="BodyText"/>
        <w:widowControl/>
        <w:spacing w:lineRule="auto" w:line="240" w:before="0" w:after="0"/>
        <w:rPr/>
      </w:pPr>
      <w:r>
        <w:rPr/>
        <w:t>The following section describes SoCalGas’ treatment of confidential supplier information prior to the effective date of the License Agreement.  Under the License Agreement, Excelergy is obligated to protect supplier information in the same confidential manner as SoCalGas, although individual security measures may differ.</w:t>
      </w:r>
    </w:p>
    <w:p>
      <w:pPr>
        <w:pStyle w:val="BodyText"/>
        <w:widowControl/>
        <w:spacing w:lineRule="auto" w:line="240" w:before="0" w:after="0"/>
        <w:rPr/>
      </w:pPr>
      <w:r>
        <w:rPr/>
      </w:r>
    </w:p>
    <w:p>
      <w:pPr>
        <w:pStyle w:val="BodyText"/>
        <w:widowControl/>
        <w:spacing w:lineRule="auto" w:line="240" w:before="0" w:after="240"/>
        <w:rPr/>
      </w:pPr>
      <w:r>
        <w:rPr/>
        <w:t>SoCalGas treats all supplier responses to customer requests for proposals (RFPs) as highly confidential, proprietary information.  Supplier information is guarded by several protective measures.  First, Energy Marketplace employs secured socket layer (SSL) technology.  This state-of-the-art measure prevents electronic eavesdropping when the information is displayed on a computer connected to the Internet.</w:t>
      </w:r>
    </w:p>
    <w:p>
      <w:pPr>
        <w:pStyle w:val="BodyText"/>
        <w:widowControl/>
        <w:spacing w:lineRule="auto" w:line="240" w:before="0" w:after="240"/>
        <w:rPr/>
      </w:pPr>
      <w:r>
        <w:rPr/>
        <w:t>Second, access to supplier information is restricted by passwords that are controlled only by suppliers and the customer who issued the RFP.  This means that all information related to an RFP cannot be viewed by unauthorized individuals such as other customers, suppliers, competitors, or utility employees.</w:t>
      </w:r>
    </w:p>
    <w:p>
      <w:pPr>
        <w:pStyle w:val="BodyText"/>
        <w:widowControl/>
        <w:spacing w:lineRule="auto" w:line="240" w:before="0" w:after="240"/>
        <w:rPr/>
      </w:pPr>
      <w:r>
        <w:rPr/>
        <w:t>Third, the computer hardware housing Energy Marketplace resides at a SoCalGas facility which itself is guarded by a number of security measures.  In accordance with the Commission’s requirements established in its Affiliate Transactions Decision, D.97</w:t>
        <w:noBreakHyphen/>
        <w:t>12-088, SoCalGas’ marketing affiliates do not have physical or electronic access to this server.</w:t>
      </w:r>
    </w:p>
    <w:p>
      <w:pPr>
        <w:pStyle w:val="BodyText"/>
        <w:widowControl/>
        <w:spacing w:lineRule="auto" w:line="240" w:before="0" w:after="240"/>
        <w:rPr/>
      </w:pPr>
      <w:r>
        <w:rPr/>
        <w:t>Fourth, there are no “administrative screens” built into the Energy Marketplace software that might allow SoCalGas employees to access RFP responses from suppliers.  By design, this information can only be viewed by a skilled computer programmer with an understanding of the software platform used by Energy Marketplace.  Furthermore, that programmer must be operating within SoCalGas’ computer network and possess specific access codes.</w:t>
      </w:r>
    </w:p>
    <w:p>
      <w:pPr>
        <w:pStyle w:val="BodyText"/>
        <w:widowControl/>
        <w:spacing w:lineRule="auto" w:line="240" w:before="0" w:after="240"/>
        <w:rPr/>
      </w:pPr>
      <w:r>
        <w:rPr/>
        <w:t>Fifth, access to RFP data is strictly limited to programming staff for the purposes of database management and testing.  Protocols are in place to prevent SoCalGas employees from accessing any supplier or RFP-related information.  Employees who knowingly violate these protocols are subject to disciplinary action.  These data security protocols are attached as Attachment A and incorporated by reference.</w:t>
      </w:r>
    </w:p>
    <w:p>
      <w:pPr>
        <w:pStyle w:val="BodyText"/>
        <w:widowControl/>
        <w:spacing w:lineRule="auto" w:line="240" w:before="0" w:after="240"/>
        <w:rPr/>
      </w:pPr>
      <w:r>
        <w:rPr/>
        <w:t>Finally, SoCalGas’ obligation to treat all supplier and customer information as confidential is incorporated into the contracts between SoCalGas and Energy Marketplace participants.  This contractual commitment is as follows:</w:t>
      </w:r>
    </w:p>
    <w:p>
      <w:pPr>
        <w:pStyle w:val="Normal"/>
        <w:widowControl/>
        <w:spacing w:lineRule="auto" w:line="240" w:before="0" w:after="240"/>
        <w:ind w:start="720" w:end="0"/>
        <w:rPr/>
      </w:pPr>
      <w:r>
        <w:rPr/>
        <w:t>7.1</w:t>
        <w:tab/>
        <w:t>Each party acknowledges that it or its employees may in the course of performing its responsibilities under this Agreement, be exposed to or acquire information which is proprietary to or confidential to the other, its affiliated companies or third parties to whom such party has a duty of confidentiality.  Any and all non-public information of any form obtained by such party or its employees in the performance of this Agreement including, but not limited to the [Energy Marketplace] Services and any trade secrets, processes, proprietary data, information, or documentation related thereto, if identified in writing as “Confidential” shall be deemed to be confidential and proprietary information.  Each party agrees to hold such information in strict confidence and not to disclose such information to third parties or to use such information for any purpose whatsoever other than as contemplated by this Agreement and to advise each of its employees who may be exposed to such proprietary and confidential information of their obligations to keep such information confidential.  Confidential information shall not include information which is (i) in or becomes part of the public domain other than by disclosure by such party in violation of this Agreement, (ii) demonstrably known to such party previously without an obligation of confidentiality, (iii) independently developed by such party outside of this Agreement, (iv) rightfully obtained by such party from third parties without an obligation of confidentiality, or (v) information required to be disclosed (x) by application of law or regulation, or pursuant to a subpoena or order of a court or regulatory, self-regulatory, or legislative body of competent jurisdiction; or (y) in connection with any regulatory report, audit, inquiry, or other request for information which such party or any representative or such party is subject.</w:t>
      </w:r>
    </w:p>
    <w:p>
      <w:pPr>
        <w:pStyle w:val="Normal"/>
        <w:widowControl/>
        <w:spacing w:lineRule="auto" w:line="240"/>
        <w:ind w:hanging="720" w:start="720" w:end="0"/>
        <w:rPr/>
      </w:pPr>
      <w:r>
        <w:rPr/>
        <w:tab/>
        <w:t>7.2</w:t>
        <w:tab/>
        <w:t>The name and pricing information (if applicable) that an end-use customer and Client [the supplier] provide via Energy Marketplace, together with information regarding the manner in which the end-use customer and Client use Energy Marketplace, will not be processed or disclosed by SoCalGas except as permitted by these terms and conditions.  Client authorizes SoCalGas to share with other parties Aggregate Information gathered by SoCalGas in the course of the end-use customer and Client’s use of the Services.  “Aggregate Information” is information that describes the habits, pricing data, usage patterns, and/or demographics of end-use customers and/or clients as a group but does not describe or reveal the identity of any particular end-use customer or client.  SoCalGas reserves the right to make any and all changes to Energy Marketplace in its sole discretion without notice to Client.  SoCalGas reserves the right to deny access to Energy Marketplace to anyone at anytime.</w:t>
      </w:r>
    </w:p>
    <w:p>
      <w:pPr>
        <w:pStyle w:val="Normal"/>
        <w:widowControl/>
        <w:spacing w:lineRule="auto" w:line="240"/>
        <w:ind w:hanging="720" w:start="720" w:end="0"/>
        <w:rPr/>
      </w:pPr>
      <w:r>
        <w:rPr/>
      </w:r>
    </w:p>
    <w:p>
      <w:pPr>
        <w:pStyle w:val="Normal"/>
        <w:widowControl/>
        <w:spacing w:lineRule="auto" w:line="240"/>
        <w:ind w:hanging="720" w:start="720" w:end="0"/>
        <w:rPr>
          <w:b/>
        </w:rPr>
      </w:pPr>
      <w:r>
        <w:rPr>
          <w:b/>
        </w:rPr>
        <w:t>IV.</w:t>
        <w:tab/>
        <w:t>Impact on Competition</w:t>
      </w:r>
    </w:p>
    <w:p>
      <w:pPr>
        <w:pStyle w:val="Normal"/>
        <w:widowControl/>
        <w:spacing w:lineRule="auto" w:line="240"/>
        <w:ind w:hanging="720" w:start="720" w:end="0"/>
        <w:rPr/>
      </w:pPr>
      <w:r>
        <w:rPr/>
      </w:r>
    </w:p>
    <w:p>
      <w:pPr>
        <w:pStyle w:val="Normal"/>
        <w:widowControl/>
        <w:spacing w:lineRule="auto" w:line="240"/>
        <w:rPr/>
      </w:pPr>
      <w:r>
        <w:rPr/>
        <w:t>An additional concern in Enron’s protest is whether Energy Marketplace would have an anti-competitive effect among suppliers.  SoCalGas’ intent is for Energy Marketplace to promote customer choice in energy commodities, and that can only be accomplished by encouraging, not discouraging, competition among suppliers.  Therefore, Energy Marketplace is made available to all suppliers (authorized within a participating utility's service territory), without prejudice or preferential treatment.  Furthermore, Energy Marketplace’s content, format, and functionality neither favor one supplier over another, nor favor one utility over another.  For example, Energy Marketplace lists all gas marketers participating in the Commission-authorized gas choice programs, regardless of their participation in the RFP service provided by Energy Marketplace.  Energy Marketplace also lists all electric suppliers included on the Commission’s website.  Energy Marketplace will provide a hyperlink to the websites of all suppliers listed on Energy Marketplace, whether or not they participate in Energy Marketplace (subject to these suppliers’ prior consent).  Thus, Energy Marketplace provides free publicity to all of these energy marketers.</w:t>
      </w:r>
    </w:p>
    <w:p>
      <w:pPr>
        <w:pStyle w:val="Normal"/>
        <w:widowControl/>
        <w:spacing w:lineRule="auto" w:line="240"/>
        <w:rPr/>
      </w:pPr>
      <w:r>
        <w:rPr/>
      </w:r>
    </w:p>
    <w:p>
      <w:pPr>
        <w:pStyle w:val="Normal"/>
        <w:widowControl/>
        <w:spacing w:lineRule="auto" w:line="240"/>
        <w:rPr>
          <w:b/>
        </w:rPr>
      </w:pPr>
      <w:r>
        <w:rPr>
          <w:b/>
        </w:rPr>
        <w:t>V.</w:t>
        <w:tab/>
        <w:t>Protests</w:t>
      </w:r>
    </w:p>
    <w:p>
      <w:pPr>
        <w:pStyle w:val="Normal"/>
        <w:widowControl/>
        <w:spacing w:lineRule="auto" w:line="240"/>
        <w:rPr/>
      </w:pPr>
      <w:r>
        <w:rPr/>
      </w:r>
    </w:p>
    <w:p>
      <w:pPr>
        <w:pStyle w:val="Normal"/>
        <w:widowControl/>
        <w:spacing w:lineRule="auto" w:line="240"/>
        <w:rPr/>
      </w:pPr>
      <w:r>
        <w:rPr/>
        <w:t xml:space="preserve">Any interested party may submit a protest to the California Public Utilities Commission regarding this supplemental advice letter.  The protest should be submitted expeditiously and must state the grounds upon which it is based, including issues such as the financial and service impacts the request would cause.  The protest must be made in writing and received </w:t>
      </w:r>
      <w:r>
        <w:rPr>
          <w:u w:val="single"/>
        </w:rPr>
        <w:t>within 20 days</w:t>
      </w:r>
      <w:r>
        <w:rPr/>
        <w:t xml:space="preserve"> of the date this supplemental advice letter was filed with the Commission.  There is no restriction on who may file a protest.  The address for mailing or delivering a protest to the Commission is: </w:t>
      </w:r>
    </w:p>
    <w:p>
      <w:pPr>
        <w:pStyle w:val="Normal"/>
        <w:widowControl/>
        <w:spacing w:lineRule="auto" w:line="240"/>
        <w:rPr/>
      </w:pPr>
      <w:r>
        <w:rPr/>
      </w:r>
    </w:p>
    <w:p>
      <w:pPr>
        <w:pStyle w:val="Normal"/>
        <w:widowControl/>
        <w:spacing w:lineRule="auto" w:line="240"/>
        <w:ind w:start="1440" w:end="0"/>
        <w:rPr/>
      </w:pPr>
      <w:r>
        <w:rPr/>
        <w:t>Investigations, Monitoring and Compliance Branch Chief</w:t>
      </w:r>
    </w:p>
    <w:p>
      <w:pPr>
        <w:pStyle w:val="Normal"/>
        <w:widowControl/>
        <w:spacing w:lineRule="auto" w:line="240"/>
        <w:ind w:start="1440" w:end="0"/>
        <w:rPr/>
      </w:pPr>
      <w:r>
        <w:rPr/>
        <w:t>Energy Division</w:t>
      </w:r>
    </w:p>
    <w:p>
      <w:pPr>
        <w:pStyle w:val="Normal"/>
        <w:widowControl/>
        <w:spacing w:lineRule="auto" w:line="240"/>
        <w:ind w:start="1440" w:end="0"/>
        <w:rPr/>
      </w:pPr>
      <w:r>
        <w:rPr/>
        <w:t>California Public Utilities Commission</w:t>
      </w:r>
    </w:p>
    <w:p>
      <w:pPr>
        <w:pStyle w:val="Normal"/>
        <w:widowControl/>
        <w:spacing w:lineRule="auto" w:line="240"/>
        <w:ind w:start="1440" w:end="0"/>
        <w:rPr/>
      </w:pPr>
      <w:r>
        <w:rPr/>
        <w:t>505 Van Ness Avenue, Room 4002</w:t>
      </w:r>
    </w:p>
    <w:p>
      <w:pPr>
        <w:pStyle w:val="Normal"/>
        <w:widowControl/>
        <w:spacing w:lineRule="auto" w:line="240"/>
        <w:ind w:start="1440" w:end="0"/>
        <w:rPr/>
      </w:pPr>
      <w:r>
        <w:rPr/>
        <w:t>San Francisco, California 94102</w:t>
      </w:r>
    </w:p>
    <w:p>
      <w:pPr>
        <w:pStyle w:val="Normal"/>
        <w:widowControl/>
        <w:spacing w:lineRule="auto" w:line="240"/>
        <w:rPr/>
      </w:pPr>
      <w:r>
        <w:rPr/>
      </w:r>
    </w:p>
    <w:p>
      <w:pPr>
        <w:pStyle w:val="Normal"/>
        <w:widowControl/>
        <w:spacing w:lineRule="auto" w:line="240"/>
        <w:ind w:end="-144"/>
        <w:rPr/>
      </w:pPr>
      <w:r>
        <w:rPr/>
        <w:t xml:space="preserve">A copy should also be mailed to the attention of Energy Division-IMC Branch, Room 4005 (at the address shown above).  It is also requested that a copy of the protest be sent via electronic mail </w:t>
      </w:r>
      <w:r>
        <w:rPr>
          <w:u w:val="single"/>
        </w:rPr>
        <w:t>and</w:t>
      </w:r>
      <w:r>
        <w:rPr/>
        <w:t xml:space="preserve"> facsimile to SoCalGas in care of Sempra Energy on the same date it is mailed or delivered to the Commission (at the addresses shown below).</w:t>
      </w:r>
      <w:r>
        <w:br w:type="page"/>
      </w:r>
    </w:p>
    <w:p>
      <w:pPr>
        <w:pStyle w:val="Normal"/>
        <w:widowControl/>
        <w:spacing w:lineRule="auto" w:line="240"/>
        <w:rPr/>
      </w:pPr>
      <w:r>
        <w:rPr/>
      </w:r>
    </w:p>
    <w:p>
      <w:pPr>
        <w:pStyle w:val="Normal"/>
        <w:widowControl/>
        <w:spacing w:lineRule="auto" w:line="240"/>
        <w:ind w:start="1440" w:end="0"/>
        <w:rPr/>
      </w:pPr>
      <w:r>
        <w:rPr/>
        <w:t>Attn:  Sid Newsom</w:t>
      </w:r>
    </w:p>
    <w:p>
      <w:pPr>
        <w:pStyle w:val="Normal"/>
        <w:widowControl/>
        <w:spacing w:lineRule="auto" w:line="240"/>
        <w:ind w:start="1440" w:end="0"/>
        <w:rPr/>
      </w:pPr>
      <w:r>
        <w:rPr/>
        <w:t>Regulatory Tariff Administration</w:t>
      </w:r>
    </w:p>
    <w:p>
      <w:pPr>
        <w:pStyle w:val="Normal"/>
        <w:widowControl/>
        <w:spacing w:lineRule="auto" w:line="240"/>
        <w:ind w:start="1440" w:end="0"/>
        <w:rPr/>
      </w:pPr>
      <w:r>
        <w:rPr/>
        <w:t>Sempra Energy - GT14D6</w:t>
      </w:r>
    </w:p>
    <w:p>
      <w:pPr>
        <w:pStyle w:val="Normal"/>
        <w:widowControl/>
        <w:spacing w:lineRule="auto" w:line="240"/>
        <w:ind w:start="1440" w:end="0"/>
        <w:rPr/>
      </w:pPr>
      <w:r>
        <w:rPr/>
        <w:t>555 West Fifth Street</w:t>
      </w:r>
    </w:p>
    <w:p>
      <w:pPr>
        <w:pStyle w:val="Normal"/>
        <w:widowControl/>
        <w:spacing w:lineRule="auto" w:line="240"/>
        <w:ind w:start="1440" w:end="0"/>
        <w:rPr/>
      </w:pPr>
      <w:r>
        <w:rPr/>
        <w:t>Los Angeles, CA  90013-1011</w:t>
      </w:r>
    </w:p>
    <w:p>
      <w:pPr>
        <w:pStyle w:val="Normal"/>
        <w:widowControl/>
        <w:spacing w:lineRule="auto" w:line="240"/>
        <w:ind w:start="1440" w:end="0"/>
        <w:rPr/>
      </w:pPr>
      <w:r>
        <w:rPr/>
        <w:t>Facsimile No. (213) 244-4957</w:t>
      </w:r>
    </w:p>
    <w:p>
      <w:pPr>
        <w:pStyle w:val="Normal"/>
        <w:widowControl/>
        <w:spacing w:lineRule="auto" w:line="240"/>
        <w:ind w:start="1440" w:end="0"/>
        <w:rPr/>
      </w:pPr>
      <w:r>
        <w:rPr/>
        <w:t>E-Mail:  snewsom@sempra.com</w:t>
      </w:r>
    </w:p>
    <w:p>
      <w:pPr>
        <w:pStyle w:val="Normal"/>
        <w:widowControl/>
        <w:spacing w:lineRule="auto" w:line="240"/>
        <w:rPr/>
      </w:pPr>
      <w:r>
        <w:rPr/>
      </w:r>
    </w:p>
    <w:p>
      <w:pPr>
        <w:pStyle w:val="Normal"/>
        <w:widowControl/>
        <w:spacing w:lineRule="auto" w:line="240"/>
        <w:ind w:start="1440" w:end="0"/>
        <w:rPr/>
      </w:pPr>
      <w:r>
        <w:rPr/>
        <w:t>Attn:  C. Richard Swanson</w:t>
      </w:r>
    </w:p>
    <w:p>
      <w:pPr>
        <w:pStyle w:val="Normal"/>
        <w:widowControl/>
        <w:spacing w:lineRule="auto" w:line="240"/>
        <w:ind w:start="1440" w:end="0"/>
        <w:rPr/>
      </w:pPr>
      <w:r>
        <w:rPr/>
        <w:t>Regulatory Tariff Manager</w:t>
      </w:r>
    </w:p>
    <w:p>
      <w:pPr>
        <w:pStyle w:val="Normal"/>
        <w:widowControl/>
        <w:spacing w:lineRule="auto" w:line="240"/>
        <w:ind w:start="1440" w:end="0"/>
        <w:rPr/>
      </w:pPr>
      <w:r>
        <w:rPr/>
        <w:t>Sempra Energy - HQ14D</w:t>
      </w:r>
    </w:p>
    <w:p>
      <w:pPr>
        <w:pStyle w:val="Normal"/>
        <w:widowControl/>
        <w:spacing w:lineRule="auto" w:line="240"/>
        <w:ind w:start="1440" w:end="0"/>
        <w:rPr/>
      </w:pPr>
      <w:r>
        <w:rPr/>
        <w:t>101 Ash Street</w:t>
      </w:r>
    </w:p>
    <w:p>
      <w:pPr>
        <w:pStyle w:val="Normal"/>
        <w:widowControl/>
        <w:spacing w:lineRule="auto" w:line="240"/>
        <w:ind w:start="1440" w:end="0"/>
        <w:rPr/>
      </w:pPr>
      <w:r>
        <w:rPr/>
        <w:t>San Diego, CA 92101-3017</w:t>
      </w:r>
    </w:p>
    <w:p>
      <w:pPr>
        <w:pStyle w:val="Normal"/>
        <w:widowControl/>
        <w:spacing w:lineRule="auto" w:line="240"/>
        <w:ind w:start="1440" w:end="0"/>
        <w:rPr/>
      </w:pPr>
      <w:r>
        <w:rPr/>
        <w:t>Facsimile No. (619) 696-4027</w:t>
      </w:r>
    </w:p>
    <w:p>
      <w:pPr>
        <w:pStyle w:val="Normal"/>
        <w:widowControl/>
        <w:spacing w:lineRule="auto" w:line="240"/>
        <w:ind w:start="1440" w:end="0"/>
        <w:rPr/>
      </w:pPr>
      <w:r>
        <w:rPr/>
        <w:t>E-Mail:  rswanson@sempra.com</w:t>
      </w:r>
    </w:p>
    <w:p>
      <w:pPr>
        <w:pStyle w:val="Normal"/>
        <w:widowControl/>
        <w:spacing w:lineRule="auto" w:line="240"/>
        <w:rPr/>
      </w:pPr>
      <w:r>
        <w:rPr/>
      </w:r>
    </w:p>
    <w:p>
      <w:pPr>
        <w:pStyle w:val="Normal"/>
        <w:widowControl/>
        <w:spacing w:lineRule="auto" w:line="240"/>
        <w:rPr>
          <w:b/>
          <w:u w:val="single"/>
        </w:rPr>
      </w:pPr>
      <w:r>
        <w:rPr>
          <w:b/>
        </w:rPr>
        <w:t>VI.</w:t>
        <w:tab/>
        <w:t>Effective Date</w:t>
      </w:r>
    </w:p>
    <w:p>
      <w:pPr>
        <w:pStyle w:val="Normal"/>
        <w:widowControl/>
        <w:spacing w:lineRule="auto" w:line="240"/>
        <w:rPr>
          <w:b/>
          <w:u w:val="single"/>
        </w:rPr>
      </w:pPr>
      <w:r>
        <w:rPr>
          <w:b/>
          <w:u w:val="single"/>
        </w:rPr>
      </w:r>
    </w:p>
    <w:p>
      <w:pPr>
        <w:pStyle w:val="Normal"/>
        <w:widowControl/>
        <w:spacing w:lineRule="auto" w:line="240"/>
        <w:rPr/>
      </w:pPr>
      <w:r>
        <w:rPr/>
        <w:t>It is respectfully requested that Advice No. 2793, together with this supplemental Advice No. 2793-B, be approved on November 23, 1999, which is not less than forty (40) days regular statutory notice.</w:t>
      </w:r>
    </w:p>
    <w:p>
      <w:pPr>
        <w:pStyle w:val="Normal"/>
        <w:widowControl/>
        <w:spacing w:lineRule="auto" w:line="240"/>
        <w:rPr>
          <w:b/>
          <w:u w:val="single"/>
        </w:rPr>
      </w:pPr>
      <w:r>
        <w:rPr>
          <w:b/>
          <w:u w:val="single"/>
        </w:rPr>
      </w:r>
    </w:p>
    <w:p>
      <w:pPr>
        <w:pStyle w:val="Normal"/>
        <w:keepNext w:val="true"/>
        <w:keepLines/>
        <w:widowControl/>
        <w:spacing w:lineRule="auto" w:line="240"/>
        <w:rPr>
          <w:b/>
        </w:rPr>
      </w:pPr>
      <w:r>
        <w:rPr>
          <w:b/>
        </w:rPr>
        <w:t>VII.</w:t>
        <w:tab/>
        <w:t>Notice</w:t>
      </w:r>
    </w:p>
    <w:p>
      <w:pPr>
        <w:pStyle w:val="Normal"/>
        <w:keepNext w:val="true"/>
        <w:keepLines/>
        <w:widowControl/>
        <w:tabs>
          <w:tab w:val="clear" w:pos="720"/>
          <w:tab w:val="left" w:pos="1800" w:leader="none"/>
        </w:tabs>
        <w:spacing w:lineRule="auto" w:line="240"/>
        <w:ind w:start="360" w:end="0"/>
        <w:rPr/>
      </w:pPr>
      <w:r>
        <w:rPr/>
      </w:r>
    </w:p>
    <w:p>
      <w:pPr>
        <w:pStyle w:val="Normal"/>
        <w:keepNext w:val="true"/>
        <w:keepLines/>
        <w:widowControl/>
        <w:tabs>
          <w:tab w:val="clear" w:pos="720"/>
          <w:tab w:val="left" w:pos="1800" w:leader="none"/>
        </w:tabs>
        <w:spacing w:lineRule="auto" w:line="240"/>
        <w:rPr>
          <w:b/>
          <w:i/>
          <w:i/>
          <w:u w:val="single"/>
        </w:rPr>
      </w:pPr>
      <w:r>
        <w:rPr/>
        <w:t>In accordance with Section III.G of General Order No. 96-A, a copy of this supplemental Advice Letter is being sent to the parties listed on Attachment B hereto and the parties on the service list in the Affiliate Transactions Rulemaking R.97-04-011.</w:t>
      </w:r>
    </w:p>
    <w:p>
      <w:pPr>
        <w:pStyle w:val="Normal"/>
        <w:widowControl/>
        <w:tabs>
          <w:tab w:val="clear" w:pos="720"/>
          <w:tab w:val="left" w:pos="1800" w:leader="none"/>
        </w:tabs>
        <w:spacing w:lineRule="auto" w:line="240"/>
        <w:rPr>
          <w:b/>
          <w:i/>
          <w:i/>
          <w:u w:val="single"/>
        </w:rPr>
      </w:pPr>
      <w:r>
        <w:rPr>
          <w:b/>
          <w:i/>
          <w:u w:val="single"/>
        </w:rPr>
      </w:r>
    </w:p>
    <w:p>
      <w:pPr>
        <w:pStyle w:val="Normal"/>
        <w:widowControl/>
        <w:spacing w:lineRule="auto" w:line="240"/>
        <w:rPr/>
      </w:pPr>
      <w:r>
        <w:rPr/>
      </w:r>
    </w:p>
    <w:p>
      <w:pPr>
        <w:pStyle w:val="Normal"/>
        <w:widowControl/>
        <w:tabs>
          <w:tab w:val="left" w:pos="720" w:leader="none"/>
          <w:tab w:val="left" w:pos="1440" w:leader="none"/>
          <w:tab w:val="left" w:pos="2160" w:leader="none"/>
        </w:tabs>
        <w:spacing w:lineRule="auto" w:line="240"/>
        <w:ind w:start="2880" w:end="0"/>
        <w:jc w:val="center"/>
        <w:rPr/>
      </w:pPr>
      <w:r>
        <w:rPr/>
        <w:t>_________________________________</w:t>
      </w:r>
    </w:p>
    <w:p>
      <w:pPr>
        <w:pStyle w:val="Normal"/>
        <w:widowControl/>
        <w:tabs>
          <w:tab w:val="left" w:pos="720" w:leader="none"/>
          <w:tab w:val="left" w:pos="1440" w:leader="none"/>
          <w:tab w:val="left" w:pos="2160" w:leader="none"/>
        </w:tabs>
        <w:spacing w:lineRule="auto" w:line="240"/>
        <w:ind w:start="2880" w:end="0"/>
        <w:jc w:val="center"/>
        <w:rPr/>
      </w:pPr>
      <w:r>
        <w:rPr/>
        <w:t>LEE SCHAVRIEN</w:t>
      </w:r>
    </w:p>
    <w:p>
      <w:pPr>
        <w:pStyle w:val="Normal"/>
        <w:widowControl/>
        <w:tabs>
          <w:tab w:val="left" w:pos="720" w:leader="none"/>
          <w:tab w:val="left" w:pos="1440" w:leader="none"/>
          <w:tab w:val="left" w:pos="2160" w:leader="none"/>
        </w:tabs>
        <w:spacing w:lineRule="auto" w:line="240"/>
        <w:ind w:start="2880" w:end="0"/>
        <w:jc w:val="center"/>
        <w:rPr/>
      </w:pPr>
      <w:r>
        <w:rPr/>
        <w:t>Director -- Regulatory Case Management</w:t>
      </w:r>
    </w:p>
    <w:p>
      <w:pPr>
        <w:pStyle w:val="Normal"/>
        <w:widowControl/>
        <w:tabs>
          <w:tab w:val="left" w:pos="720" w:leader="none"/>
          <w:tab w:val="left" w:pos="1440" w:leader="none"/>
          <w:tab w:val="left" w:pos="2160" w:leader="none"/>
        </w:tabs>
        <w:spacing w:lineRule="auto" w:line="240"/>
        <w:ind w:start="2880" w:end="0"/>
        <w:jc w:val="center"/>
        <w:rPr/>
      </w:pPr>
      <w:r>
        <w:rPr/>
        <w:t>and Tariff Administration</w:t>
      </w:r>
    </w:p>
    <w:p>
      <w:pPr>
        <w:pStyle w:val="Normal"/>
        <w:widowControl/>
        <w:tabs>
          <w:tab w:val="left" w:pos="720" w:leader="none"/>
          <w:tab w:val="left" w:pos="1440" w:leader="none"/>
          <w:tab w:val="left" w:pos="2160" w:leader="none"/>
        </w:tabs>
        <w:spacing w:lineRule="auto" w:line="240"/>
        <w:ind w:start="2880" w:end="0"/>
        <w:jc w:val="center"/>
        <w:rPr/>
      </w:pPr>
      <w:r>
        <w:rPr/>
        <w:t>Sempra Energy</w:t>
      </w:r>
    </w:p>
    <w:p>
      <w:pPr>
        <w:pStyle w:val="Normal"/>
        <w:widowControl/>
        <w:spacing w:lineRule="auto" w:line="240"/>
        <w:rPr/>
      </w:pPr>
      <w:r>
        <w:rPr/>
      </w:r>
    </w:p>
    <w:p>
      <w:pPr>
        <w:pStyle w:val="Normal"/>
        <w:widowControl/>
        <w:spacing w:lineRule="auto" w:line="240"/>
        <w:rPr/>
      </w:pPr>
      <w:r>
        <w:rPr/>
        <w:t>Attachment A - Data Security Protocols</w:t>
      </w:r>
    </w:p>
    <w:p>
      <w:pPr>
        <w:pStyle w:val="Normal"/>
        <w:widowControl/>
        <w:spacing w:lineRule="auto" w:line="240"/>
        <w:rPr/>
      </w:pPr>
      <w:r>
        <w:rPr/>
        <w:t>Attachment B - Service List</w:t>
      </w:r>
    </w:p>
    <w:p>
      <w:pPr>
        <w:sectPr>
          <w:headerReference w:type="default" r:id="rId2"/>
          <w:headerReference w:type="first" r:id="rId3"/>
          <w:footnotePr>
            <w:numFmt w:val="decimal"/>
          </w:footnotePr>
          <w:type w:val="nextPage"/>
          <w:pgSz w:w="12240" w:h="15840"/>
          <w:pgMar w:left="1872" w:right="1872" w:gutter="0" w:header="720" w:top="776" w:footer="0" w:bottom="720"/>
          <w:pgNumType w:fmt="decimal"/>
          <w:formProt w:val="false"/>
          <w:titlePg/>
          <w:textDirection w:val="lrTb"/>
          <w:docGrid w:type="default" w:linePitch="360" w:charSpace="0"/>
        </w:sectPr>
        <w:pStyle w:val="Normal"/>
        <w:widowControl/>
        <w:spacing w:lineRule="auto" w:line="240"/>
        <w:rPr/>
      </w:pPr>
      <w:r>
        <w:rPr/>
      </w:r>
    </w:p>
    <w:p>
      <w:pPr>
        <w:pStyle w:val="To-From-DateofMemo"/>
        <w:spacing w:before="480" w:after="240"/>
        <w:jc w:val="center"/>
        <w:rPr>
          <w:b/>
        </w:rPr>
      </w:pPr>
      <w:r>
        <w:rPr>
          <w:b/>
        </w:rPr>
      </w:r>
    </w:p>
    <w:p>
      <w:pPr>
        <w:pStyle w:val="Normal"/>
        <w:tabs>
          <w:tab w:val="clear" w:pos="720"/>
          <w:tab w:val="left" w:pos="1440" w:leader="none"/>
        </w:tabs>
        <w:spacing w:lineRule="auto" w:line="240"/>
        <w:ind w:start="5040" w:end="0"/>
        <w:jc w:val="center"/>
        <w:rPr>
          <w:b/>
        </w:rPr>
      </w:pPr>
      <w:r>
        <w:rPr>
          <w:b/>
        </w:rPr>
      </w:r>
    </w:p>
    <w:p>
      <w:pPr>
        <w:pStyle w:val="To-From-DateofMemo"/>
        <w:rPr>
          <w:b/>
        </w:rPr>
      </w:pPr>
      <w:r>
        <w:rPr>
          <w:b/>
        </w:rPr>
        <w:t>To:</w:t>
        <w:tab/>
        <w:t>ETS Customer Services &amp; Marketing and</w:t>
        <w:br/>
        <w:t>IT Personnel Supporting ETS</w:t>
      </w:r>
      <w:r>
        <w:rPr>
          <w:b/>
        </w:rPr>
        <w:fldChar w:fldCharType="begin"/>
      </w:r>
      <w:r>
        <w:rPr>
          <w:b/>
        </w:rPr>
        <w:instrText xml:space="preserve"> FILLIN "Who is the memo being sent TO?"</w:instrText>
      </w:r>
      <w:r>
        <w:rPr>
          <w:b/>
        </w:rPr>
        <w:fldChar w:fldCharType="separate"/>
      </w:r>
      <w:r>
        <w:rPr>
          <w:b/>
        </w:rPr>
      </w:r>
      <w:r>
        <w:rPr>
          <w:b/>
        </w:rPr>
        <w:fldChar w:fldCharType="end"/>
      </w:r>
    </w:p>
    <w:p>
      <w:pPr>
        <w:pStyle w:val="To-From-DateofMemo"/>
        <w:rPr>
          <w:b/>
        </w:rPr>
      </w:pPr>
      <w:r>
        <w:rPr>
          <w:b/>
        </w:rPr>
        <w:t>From:</w:t>
        <w:tab/>
        <w:t>Richard M. Morrow</w:t>
      </w:r>
    </w:p>
    <w:p>
      <w:pPr>
        <w:pStyle w:val="To-From-DateofMemo"/>
        <w:rPr>
          <w:b/>
        </w:rPr>
      </w:pPr>
      <w:r>
        <w:rPr>
          <w:b/>
        </w:rPr>
        <w:t>Date:</w:t>
        <w:tab/>
      </w:r>
      <w:r>
        <w:rPr>
          <w:b/>
        </w:rPr>
        <w:fldChar w:fldCharType="begin"/>
      </w:r>
      <w:r>
        <w:rPr>
          <w:b/>
        </w:rPr>
        <w:instrText xml:space="preserve"> CREATEDATE \@"MMMM\ d', 'yyyy" </w:instrText>
      </w:r>
      <w:r>
        <w:rPr>
          <w:b/>
        </w:rPr>
        <w:fldChar w:fldCharType="separate"/>
      </w:r>
      <w:r>
        <w:rPr>
          <w:b/>
        </w:rPr>
        <w:t>June 3, 1999</w:t>
      </w:r>
      <w:r>
        <w:rPr>
          <w:b/>
        </w:rPr>
        <w:fldChar w:fldCharType="end"/>
      </w:r>
    </w:p>
    <w:p>
      <w:pPr>
        <w:pStyle w:val="SubjectofMemo"/>
        <w:spacing w:before="0" w:after="240"/>
        <w:rPr>
          <w:b/>
        </w:rPr>
      </w:pPr>
      <w:r>
        <w:rPr>
          <w:b/>
        </w:rPr>
        <w:t>Subject:</w:t>
        <w:tab/>
      </w:r>
      <w:r>
        <w:rPr>
          <w:b/>
        </w:rPr>
        <w:fldChar w:fldCharType="begin"/>
      </w:r>
      <w:r>
        <w:rPr>
          <w:b/>
        </w:rPr>
        <w:instrText xml:space="preserve"> FILLIN "Enter the subject of the memo."</w:instrText>
      </w:r>
      <w:r>
        <w:rPr>
          <w:b/>
        </w:rPr>
        <w:fldChar w:fldCharType="separate"/>
      </w:r>
      <w:r>
        <w:rPr>
          <w:b/>
        </w:rPr>
        <w:t>Data Security Protocols for Energy Marketplace</w:t>
      </w:r>
      <w:r>
        <w:rPr>
          <w:b/>
        </w:rPr>
        <w:fldChar w:fldCharType="end"/>
      </w:r>
    </w:p>
    <w:p>
      <w:pPr>
        <w:pStyle w:val="Normal"/>
        <w:rPr>
          <w:u w:val="double"/>
        </w:rPr>
      </w:pPr>
      <w:r>
        <w:rPr>
          <w:u w:val="double"/>
        </w:rPr>
        <w:tab/>
        <w:tab/>
        <w:tab/>
        <w:tab/>
        <w:tab/>
        <w:tab/>
        <w:tab/>
        <w:tab/>
        <w:tab/>
        <w:tab/>
        <w:tab/>
        <w:tab/>
        <w:tab/>
      </w:r>
    </w:p>
    <w:p>
      <w:pPr>
        <w:pStyle w:val="Normal"/>
        <w:spacing w:before="120" w:after="0"/>
        <w:rPr/>
      </w:pPr>
      <w:r>
        <w:rPr/>
        <w:t>It has come to my attention that marketers may be concerned that their responses to customer requests for proposals (RFPs) issued through Energy Marketplace might be viewed by SoCalGas employees.  To put such concerns to rest, I am issuing the attached data security protocols limiting access to marketer RFP responses by SoCalGas employees and contractors.  Employees violating any of these protocols will be subject to disciplinary action.</w:t>
      </w:r>
    </w:p>
    <w:p>
      <w:pPr>
        <w:pStyle w:val="Normal"/>
        <w:rPr/>
      </w:pPr>
      <w:r>
        <w:rPr/>
      </w:r>
    </w:p>
    <w:p>
      <w:pPr>
        <w:pStyle w:val="Normal"/>
        <w:rPr/>
      </w:pPr>
      <w:r>
        <w:rPr/>
        <w:t>If you have questions about these protocols, please contact me at (213) 244-3650.</w:t>
      </w:r>
    </w:p>
    <w:p>
      <w:pPr>
        <w:pStyle w:val="Normal"/>
        <w:rPr/>
      </w:pPr>
      <w:r>
        <w:rPr/>
      </w:r>
    </w:p>
    <w:p>
      <w:pPr>
        <w:pStyle w:val="Normal"/>
        <w:rPr/>
      </w:pPr>
      <w:r>
        <w:rPr/>
      </w:r>
    </w:p>
    <w:p>
      <w:pPr>
        <w:pStyle w:val="Normal"/>
        <w:rPr/>
      </w:pPr>
      <w:r>
        <w:rPr/>
      </w:r>
    </w:p>
    <w:p>
      <w:pPr>
        <w:sectPr>
          <w:headerReference w:type="default" r:id="rId4"/>
          <w:headerReference w:type="first" r:id="rId5"/>
          <w:footerReference w:type="default" r:id="rId6"/>
          <w:footnotePr>
            <w:numFmt w:val="decimal"/>
          </w:footnotePr>
          <w:type w:val="nextPage"/>
          <w:pgSz w:w="12240" w:h="15840"/>
          <w:pgMar w:left="1800" w:right="720" w:gutter="0" w:header="720" w:top="1037" w:footer="720" w:bottom="1440"/>
          <w:pgNumType w:fmt="decimal"/>
          <w:formProt w:val="false"/>
          <w:textDirection w:val="lrTb"/>
          <w:docGrid w:type="default" w:linePitch="360" w:charSpace="0"/>
        </w:sectPr>
        <w:pStyle w:val="Normal"/>
        <w:rPr/>
      </w:pPr>
      <w:r>
        <w:rPr/>
        <w:tab/>
      </w:r>
    </w:p>
    <w:p>
      <w:pPr>
        <w:pStyle w:val="Normal"/>
        <w:rPr/>
      </w:pPr>
      <w:r>
        <w:rPr/>
      </w:r>
    </w:p>
    <w:p>
      <w:pPr>
        <w:pStyle w:val="Heading1"/>
        <w:ind w:hanging="0" w:start="0"/>
        <w:rPr/>
      </w:pPr>
      <w:r>
        <w:rPr/>
        <w:t>Data Security Protocols for Energy Marketplace RFP Responses</w:t>
      </w:r>
    </w:p>
    <w:p>
      <w:pPr>
        <w:pStyle w:val="Normal"/>
        <w:rPr/>
      </w:pPr>
      <w:r>
        <w:rPr/>
      </w:r>
    </w:p>
    <w:p>
      <w:pPr>
        <w:pStyle w:val="Normal"/>
        <w:numPr>
          <w:ilvl w:val="0"/>
          <w:numId w:val="2"/>
        </w:numPr>
        <w:rPr/>
      </w:pPr>
      <w:r>
        <w:rPr/>
        <w:t>Individual RFP responses stored within the Energy Marketplace database may be viewed only by Information Technology (IT) personnel working on Energy Marketplace.</w:t>
      </w:r>
    </w:p>
    <w:p>
      <w:pPr>
        <w:pStyle w:val="Normal"/>
        <w:numPr>
          <w:ilvl w:val="0"/>
          <w:numId w:val="2"/>
        </w:numPr>
        <w:rPr/>
      </w:pPr>
      <w:r>
        <w:rPr/>
        <w:t>Non-IT employees and contractors are prohibited from viewing information contained in individual RFP responses without the express written consent of the supplier(s).</w:t>
      </w:r>
    </w:p>
    <w:p>
      <w:pPr>
        <w:pStyle w:val="Normal"/>
        <w:numPr>
          <w:ilvl w:val="0"/>
          <w:numId w:val="2"/>
        </w:numPr>
        <w:rPr/>
      </w:pPr>
      <w:r>
        <w:rPr/>
        <w:t>IT personnel may view RFP responses contained within the Energy Marketplace database only for the purpose of Energy Marketplace system maintenance, testing, or development work.</w:t>
      </w:r>
    </w:p>
    <w:p>
      <w:pPr>
        <w:pStyle w:val="Normal"/>
        <w:numPr>
          <w:ilvl w:val="0"/>
          <w:numId w:val="2"/>
        </w:numPr>
        <w:rPr/>
      </w:pPr>
      <w:r>
        <w:rPr/>
        <w:t>SoCalGas employees and contractors may not print, copy fax, e-mail, or disclose information contained in a specific RFP response without written consent of the supplier(s).</w:t>
      </w:r>
    </w:p>
    <w:p>
      <w:pPr>
        <w:pStyle w:val="Normal"/>
        <w:numPr>
          <w:ilvl w:val="0"/>
          <w:numId w:val="2"/>
        </w:numPr>
        <w:rPr/>
      </w:pPr>
      <w:r>
        <w:rPr/>
        <w:t>Employees who violate any of these protocols will be subject to disciplinary actions.</w:t>
      </w:r>
    </w:p>
    <w:p>
      <w:pPr>
        <w:pStyle w:val="Normal"/>
        <w:numPr>
          <w:ilvl w:val="0"/>
          <w:numId w:val="2"/>
        </w:numPr>
        <w:rPr/>
      </w:pPr>
      <w:r>
        <w:rPr/>
        <w:t>Violation of any of these protocols must be reported to the IT Director in charge of Energy Marketplace programming.  Employees who fail to report known violations of these protocols will be subject to disciplinary action.</w:t>
      </w:r>
    </w:p>
    <w:p>
      <w:pPr>
        <w:pStyle w:val="Normal"/>
        <w:rPr/>
      </w:pPr>
      <w:r>
        <w:rPr/>
      </w:r>
    </w:p>
    <w:p>
      <w:pPr>
        <w:pStyle w:val="Footer"/>
        <w:widowControl/>
        <w:tabs>
          <w:tab w:val="clear" w:pos="4320"/>
          <w:tab w:val="clear" w:pos="8640"/>
        </w:tabs>
        <w:spacing w:lineRule="auto" w:line="360"/>
        <w:rPr/>
      </w:pPr>
      <w:r>
        <w:rPr/>
      </w:r>
    </w:p>
    <w:p>
      <w:pPr>
        <w:pStyle w:val="Footer"/>
        <w:widowControl/>
        <w:tabs>
          <w:tab w:val="clear" w:pos="4320"/>
          <w:tab w:val="clear" w:pos="8640"/>
        </w:tabs>
        <w:spacing w:lineRule="auto" w:line="360"/>
        <w:rPr>
          <w:rFonts w:ascii="LinePrinter" w:hAnsi="LinePrinter" w:cs="LinePrinter"/>
          <w:sz w:val="17"/>
        </w:rPr>
      </w:pPr>
      <w:r>
        <w:rPr>
          <w:rFonts w:cs="LinePrinter" w:ascii="LinePrinter" w:hAnsi="LinePrinter"/>
          <w:sz w:val="17"/>
        </w:rPr>
        <w:fldChar w:fldCharType="begin"/>
      </w:r>
      <w:r>
        <w:rPr>
          <w:sz w:val="17"/>
          <w:rFonts w:cs="LinePrinter" w:ascii="LinePrinter" w:hAnsi="LinePrinter"/>
        </w:rPr>
        <w:instrText xml:space="preserve"> FILENAME \p </w:instrText>
      </w:r>
      <w:r>
        <w:rPr>
          <w:sz w:val="17"/>
          <w:rFonts w:cs="LinePrinter" w:ascii="LinePrinter" w:hAnsi="LinePrinter"/>
        </w:rPr>
        <w:fldChar w:fldCharType="separate"/>
      </w:r>
      <w:r>
        <w:rPr>
          <w:sz w:val="17"/>
          <w:rFonts w:cs="LinePrinter" w:ascii="LinePrinter" w:hAnsi="LinePrinter"/>
        </w:rPr>
        <w:t>/mnt/main-storage/datasets/enron-docs/doc/AL2793_B.doc</w:t>
      </w:r>
      <w:r>
        <w:rPr>
          <w:sz w:val="17"/>
          <w:rFonts w:cs="LinePrinter" w:ascii="LinePrinter" w:hAnsi="LinePrinter"/>
        </w:rPr>
        <w:fldChar w:fldCharType="end"/>
      </w:r>
    </w:p>
    <w:sectPr>
      <w:headerReference w:type="default" r:id="rId7"/>
      <w:headerReference w:type="first" r:id="rId8"/>
      <w:footerReference w:type="default" r:id="rId9"/>
      <w:footerReference w:type="first" r:id="rId10"/>
      <w:footnotePr>
        <w:numFmt w:val="decimal"/>
      </w:footnotePr>
      <w:type w:val="nextPage"/>
      <w:pgSz w:w="12240" w:h="15840"/>
      <w:pgMar w:left="1800" w:right="720" w:gutter="0" w:header="720" w:top="1037"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Interstate-Light">
    <w:charset w:val="00" w:characterSet="windows-1252"/>
    <w:family w:val="auto"/>
    <w:pitch w:val="variable"/>
  </w:font>
  <w:font w:name="Arial Narrow">
    <w:charset w:val="00" w:characterSet="windows-1252"/>
    <w:family w:val="swiss"/>
    <w:pitch w:val="variable"/>
  </w:font>
  <w:font w:name="LinePrinter">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tabs>
          <w:tab w:val="clear" w:pos="720"/>
          <w:tab w:val="left" w:pos="288" w:leader="none"/>
        </w:tabs>
        <w:rPr/>
      </w:pPr>
      <w:r>
        <w:rPr>
          <w:rStyle w:val="FootnoteCharacters"/>
        </w:rPr>
        <w:footnoteRef/>
      </w:r>
      <w:r>
        <w:rPr>
          <w:vertAlign w:val="superscript"/>
        </w:rPr>
        <w:t>/</w:t>
      </w:r>
      <w:r>
        <w:rPr/>
        <w:tab/>
        <w:t>By this Advice No. 2793-B, SoCalGas requests that its Advice No. 2793-A be deemed withdrawn.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230" w:leader="none"/>
        <w:tab w:val="right" w:pos="8280" w:leader="none"/>
      </w:tabs>
      <w:ind w:firstLine="1872" w:start="-1872" w:end="0"/>
      <w:rPr/>
    </w:pPr>
    <w:r>
      <w:rPr/>
    </w:r>
  </w:p>
  <w:p>
    <w:pPr>
      <w:pStyle w:val="Normal"/>
      <w:widowControl/>
      <w:tabs>
        <w:tab w:val="clear" w:pos="720"/>
        <w:tab w:val="center" w:pos="4140" w:leader="none"/>
        <w:tab w:val="right" w:pos="8280" w:leader="none"/>
      </w:tabs>
      <w:rPr/>
    </w:pPr>
    <w:r>
      <w:rPr/>
      <w:t>Advice No. 2793-B</w:t>
      <w:tab/>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r>
      <w:rPr>
        <w:rStyle w:val="PageNumber"/>
        <w:sz w:val="24"/>
      </w:rPr>
      <w:t xml:space="preserve"> -</w:t>
    </w:r>
    <w:r>
      <w:rPr/>
      <w:tab/>
      <w:t>October 14, 1999</w:t>
    </w:r>
  </w:p>
  <w:p>
    <w:pPr>
      <w:pStyle w:val="Normal"/>
      <w:widowControl/>
      <w:tabs>
        <w:tab w:val="clear" w:pos="720"/>
        <w:tab w:val="center" w:pos="4140" w:leader="none"/>
        <w:tab w:val="right" w:pos="8280" w:leader="none"/>
      </w:tabs>
      <w:rPr/>
    </w:pPr>
    <w:r>
      <w:rPr/>
    </w:r>
  </w:p>
  <w:p>
    <w:pPr>
      <w:pStyle w:val="Normal"/>
      <w:widowControl/>
      <w:tabs>
        <w:tab w:val="clear" w:pos="720"/>
        <w:tab w:val="center" w:pos="4140" w:leader="none"/>
        <w:tab w:val="right" w:pos="828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530" w:type="dxa"/>
      <w:jc w:val="start"/>
      <w:tblInd w:w="-1242" w:type="dxa"/>
      <w:tblLayout w:type="fixed"/>
      <w:tblCellMar>
        <w:top w:w="0" w:type="dxa"/>
        <w:start w:w="108" w:type="dxa"/>
        <w:bottom w:w="0" w:type="dxa"/>
        <w:end w:w="108" w:type="dxa"/>
      </w:tblCellMar>
    </w:tblPr>
    <w:tblGrid>
      <w:gridCol w:w="7920"/>
      <w:gridCol w:w="2610"/>
    </w:tblGrid>
    <w:tr>
      <w:trPr>
        <w:trHeight w:val="3200" w:hRule="exact"/>
      </w:trPr>
      <w:tc>
        <w:tcPr>
          <w:tcW w:w="7920" w:type="dxa"/>
          <w:tcBorders/>
        </w:tcPr>
        <w:p>
          <w:pPr>
            <w:pStyle w:val="Normal"/>
            <w:widowControl/>
            <w:spacing w:lineRule="auto" w:line="240" w:before="0" w:after="300"/>
            <w:ind w:start="158" w:end="0"/>
            <w:rPr>
              <w:sz w:val="20"/>
            </w:rPr>
          </w:pPr>
          <w:bookmarkStart w:id="0" w:name="_965567571"/>
          <w:bookmarkEnd w:id="0"/>
          <w:r>
            <w:rPr>
              <w:sz w:val="20"/>
            </w:rPr>
            <w:drawing>
              <wp:inline distT="0" distB="0" distL="0" distR="0">
                <wp:extent cx="1448435" cy="11341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5" t="-32" r="-25" b="-32"/>
                        <a:stretch>
                          <a:fillRect/>
                        </a:stretch>
                      </pic:blipFill>
                      <pic:spPr bwMode="auto">
                        <a:xfrm>
                          <a:off x="0" y="0"/>
                          <a:ext cx="1448435" cy="1134110"/>
                        </a:xfrm>
                        <a:prstGeom prst="rect">
                          <a:avLst/>
                        </a:prstGeom>
                        <a:noFill/>
                      </pic:spPr>
                    </pic:pic>
                  </a:graphicData>
                </a:graphic>
              </wp:inline>
            </w:drawing>
          </w:r>
        </w:p>
      </w:tc>
      <w:tc>
        <w:tcPr>
          <w:tcW w:w="2610" w:type="dxa"/>
          <w:tcBorders/>
        </w:tcPr>
        <w:p>
          <w:pPr>
            <w:pStyle w:val="Card"/>
            <w:widowControl/>
            <w:snapToGrid w:val="false"/>
            <w:ind w:end="0"/>
            <w:rPr>
              <w:rFonts w:ascii="Interstate-Light" w:hAnsi="Interstate-Light" w:cs="Interstate-Light"/>
              <w:b/>
            </w:rPr>
          </w:pPr>
          <w:r>
            <w:rPr>
              <w:rFonts w:cs="Interstate-Light" w:ascii="Interstate-Light" w:hAnsi="Interstate-Light"/>
              <w:b/>
            </w:rPr>
          </w:r>
          <w:bookmarkStart w:id="1" w:name="SenderName"/>
          <w:bookmarkStart w:id="2" w:name="MainOfficeLocation"/>
          <w:bookmarkStart w:id="3" w:name="SenderName"/>
          <w:bookmarkStart w:id="4" w:name="MainOfficeLocation"/>
          <w:bookmarkEnd w:id="3"/>
          <w:bookmarkEnd w:id="4"/>
        </w:p>
        <w:p>
          <w:pPr>
            <w:pStyle w:val="Card"/>
            <w:widowControl/>
            <w:ind w:end="0"/>
            <w:rPr>
              <w:rFonts w:ascii="Interstate-Light" w:hAnsi="Interstate-Light" w:cs="Interstate-Light"/>
              <w:b/>
            </w:rPr>
          </w:pPr>
          <w:r>
            <w:rPr>
              <w:rFonts w:cs="Interstate-Light" w:ascii="Interstate-Light" w:hAnsi="Interstate-Light"/>
              <w:b/>
            </w:rPr>
          </w:r>
        </w:p>
        <w:p>
          <w:pPr>
            <w:pStyle w:val="Card"/>
            <w:widowControl/>
            <w:ind w:end="0"/>
            <w:rPr>
              <w:rFonts w:ascii="Interstate-Light" w:hAnsi="Interstate-Light" w:cs="Interstate-Light"/>
            </w:rPr>
          </w:pPr>
          <w:r>
            <w:rPr>
              <w:rFonts w:cs="Interstate-Light" w:ascii="Interstate-Light" w:hAnsi="Interstate-Light"/>
              <w:b/>
            </w:rPr>
            <w:t>Lee Schavrien</w:t>
          </w:r>
        </w:p>
        <w:p>
          <w:pPr>
            <w:pStyle w:val="Card"/>
            <w:widowControl/>
            <w:ind w:end="0"/>
            <w:rPr>
              <w:rFonts w:ascii="Interstate-Light" w:hAnsi="Interstate-Light" w:cs="Interstate-Light"/>
            </w:rPr>
          </w:pPr>
          <w:bookmarkStart w:id="5" w:name="SenderTitle"/>
          <w:bookmarkEnd w:id="5"/>
          <w:r>
            <w:rPr>
              <w:rFonts w:cs="Interstate-Light" w:ascii="Interstate-Light" w:hAnsi="Interstate-Light"/>
            </w:rPr>
            <w:t>Director</w:t>
          </w:r>
        </w:p>
        <w:p>
          <w:pPr>
            <w:pStyle w:val="Normal"/>
            <w:widowControl/>
            <w:tabs>
              <w:tab w:val="clear" w:pos="720"/>
              <w:tab w:val="left" w:pos="2808" w:leader="none"/>
            </w:tabs>
            <w:spacing w:lineRule="auto" w:line="180"/>
            <w:jc w:val="end"/>
            <w:rPr>
              <w:rFonts w:ascii="Interstate-Light" w:hAnsi="Interstate-Light" w:cs="Interstate-Light"/>
              <w:sz w:val="14"/>
            </w:rPr>
          </w:pPr>
          <w:bookmarkStart w:id="6" w:name="SenderTitle2"/>
          <w:bookmarkEnd w:id="6"/>
          <w:r>
            <w:rPr>
              <w:rFonts w:cs="Interstate-Light" w:ascii="Interstate-Light" w:hAnsi="Interstate-Light"/>
              <w:sz w:val="14"/>
            </w:rPr>
            <w:t>Regulatory Case Management</w:t>
          </w:r>
        </w:p>
        <w:p>
          <w:pPr>
            <w:pStyle w:val="Normal"/>
            <w:widowControl/>
            <w:tabs>
              <w:tab w:val="clear" w:pos="720"/>
              <w:tab w:val="left" w:pos="2808" w:leader="none"/>
            </w:tabs>
            <w:spacing w:lineRule="auto" w:line="180"/>
            <w:jc w:val="end"/>
            <w:rPr>
              <w:rFonts w:ascii="Interstate-Light" w:hAnsi="Interstate-Light" w:cs="Interstate-Light"/>
              <w:sz w:val="14"/>
            </w:rPr>
          </w:pPr>
          <w:bookmarkStart w:id="7" w:name="MainOfficeName"/>
          <w:r>
            <w:rPr>
              <w:rFonts w:cs="Interstate-Light" w:ascii="Interstate-Light" w:hAnsi="Interstate-Light"/>
              <w:sz w:val="14"/>
            </w:rPr>
            <w:t>and Tariff Administration</w:t>
          </w:r>
          <w:bookmarkEnd w:id="7"/>
        </w:p>
        <w:p>
          <w:pPr>
            <w:pStyle w:val="Normal"/>
            <w:widowControl/>
            <w:tabs>
              <w:tab w:val="clear" w:pos="720"/>
              <w:tab w:val="left" w:pos="2808" w:leader="none"/>
            </w:tabs>
            <w:spacing w:lineRule="auto" w:line="180"/>
            <w:jc w:val="end"/>
            <w:rPr>
              <w:rFonts w:ascii="Interstate-Light" w:hAnsi="Interstate-Light" w:cs="Interstate-Light"/>
              <w:sz w:val="14"/>
            </w:rPr>
          </w:pPr>
          <w:r>
            <w:rPr>
              <w:rFonts w:cs="Interstate-Light" w:ascii="Interstate-Light" w:hAnsi="Interstate-Light"/>
              <w:sz w:val="14"/>
            </w:rPr>
          </w:r>
        </w:p>
        <w:p>
          <w:pPr>
            <w:pStyle w:val="Normal"/>
            <w:widowControl/>
            <w:tabs>
              <w:tab w:val="clear" w:pos="720"/>
              <w:tab w:val="left" w:pos="2808" w:leader="none"/>
            </w:tabs>
            <w:spacing w:lineRule="auto" w:line="180"/>
            <w:jc w:val="end"/>
            <w:rPr>
              <w:rFonts w:ascii="Interstate-Light" w:hAnsi="Interstate-Light" w:cs="Interstate-Light"/>
              <w:sz w:val="14"/>
            </w:rPr>
          </w:pPr>
          <w:bookmarkStart w:id="8" w:name="MainOfficeAddress"/>
          <w:bookmarkEnd w:id="8"/>
          <w:r>
            <w:rPr>
              <w:rFonts w:cs="Interstate-Light" w:ascii="Interstate-Light" w:hAnsi="Interstate-Light"/>
              <w:sz w:val="14"/>
            </w:rPr>
            <w:t>101 Ash Street</w:t>
          </w:r>
        </w:p>
        <w:p>
          <w:pPr>
            <w:pStyle w:val="Normal"/>
            <w:widowControl/>
            <w:tabs>
              <w:tab w:val="clear" w:pos="720"/>
              <w:tab w:val="left" w:pos="2808" w:leader="none"/>
            </w:tabs>
            <w:spacing w:lineRule="auto" w:line="180"/>
            <w:jc w:val="end"/>
            <w:rPr>
              <w:rFonts w:ascii="Interstate-Light" w:hAnsi="Interstate-Light" w:cs="Interstate-Light"/>
              <w:sz w:val="14"/>
            </w:rPr>
          </w:pPr>
          <w:bookmarkStart w:id="9" w:name="CentralCity"/>
          <w:bookmarkStart w:id="10" w:name="MainOfficeCity"/>
          <w:bookmarkEnd w:id="9"/>
          <w:bookmarkEnd w:id="10"/>
          <w:r>
            <w:rPr>
              <w:rFonts w:cs="Interstate-Light" w:ascii="Interstate-Light" w:hAnsi="Interstate-Light"/>
              <w:sz w:val="14"/>
            </w:rPr>
            <w:t>San Diego, CA 92101-3017</w:t>
          </w:r>
        </w:p>
        <w:p>
          <w:pPr>
            <w:pStyle w:val="Normal"/>
            <w:widowControl/>
            <w:tabs>
              <w:tab w:val="clear" w:pos="720"/>
              <w:tab w:val="left" w:pos="2808" w:leader="none"/>
            </w:tabs>
            <w:spacing w:lineRule="auto" w:line="180"/>
            <w:jc w:val="end"/>
            <w:rPr>
              <w:rFonts w:ascii="Interstate-Light" w:hAnsi="Interstate-Light" w:cs="Interstate-Light"/>
              <w:sz w:val="14"/>
            </w:rPr>
          </w:pPr>
          <w:r>
            <w:rPr>
              <w:rFonts w:cs="Interstate-Light" w:ascii="Interstate-Light" w:hAnsi="Interstate-Light"/>
              <w:sz w:val="14"/>
            </w:rPr>
          </w:r>
        </w:p>
        <w:p>
          <w:pPr>
            <w:pStyle w:val="Normal"/>
            <w:widowControl/>
            <w:tabs>
              <w:tab w:val="clear" w:pos="720"/>
              <w:tab w:val="left" w:pos="2808" w:leader="none"/>
            </w:tabs>
            <w:spacing w:lineRule="auto" w:line="180"/>
            <w:jc w:val="end"/>
            <w:rPr>
              <w:rFonts w:ascii="Interstate-Light" w:hAnsi="Interstate-Light" w:cs="Interstate-Light"/>
              <w:sz w:val="14"/>
            </w:rPr>
          </w:pPr>
          <w:r>
            <w:rPr>
              <w:rFonts w:cs="Interstate-Light" w:ascii="Interstate-Light" w:hAnsi="Interstate-Light"/>
              <w:sz w:val="14"/>
            </w:rPr>
            <w:t>Tel:  619 . 696 . 4050</w:t>
          </w:r>
        </w:p>
        <w:p>
          <w:pPr>
            <w:pStyle w:val="Normal"/>
            <w:widowControl/>
            <w:tabs>
              <w:tab w:val="clear" w:pos="720"/>
              <w:tab w:val="left" w:pos="2808" w:leader="none"/>
            </w:tabs>
            <w:spacing w:lineRule="auto" w:line="180"/>
            <w:jc w:val="end"/>
            <w:rPr>
              <w:rFonts w:ascii="Interstate-Light" w:hAnsi="Interstate-Light" w:cs="Interstate-Light"/>
              <w:sz w:val="14"/>
            </w:rPr>
          </w:pPr>
          <w:r>
            <w:rPr>
              <w:rFonts w:cs="Interstate-Light" w:ascii="Interstate-Light" w:hAnsi="Interstate-Light"/>
              <w:sz w:val="14"/>
            </w:rPr>
            <w:t>Fax:</w:t>
          </w:r>
          <w:bookmarkStart w:id="11" w:name="SenderFax"/>
          <w:bookmarkEnd w:id="11"/>
          <w:r>
            <w:rPr>
              <w:rFonts w:cs="Interstate-Light" w:ascii="Interstate-Light" w:hAnsi="Interstate-Light"/>
              <w:sz w:val="14"/>
            </w:rPr>
            <w:t xml:space="preserve">  619 . 696 . 4027</w:t>
          </w:r>
        </w:p>
        <w:p>
          <w:pPr>
            <w:pStyle w:val="Normal"/>
            <w:widowControl/>
            <w:tabs>
              <w:tab w:val="clear" w:pos="720"/>
              <w:tab w:val="left" w:pos="2808" w:leader="none"/>
            </w:tabs>
            <w:spacing w:lineRule="auto" w:line="180"/>
            <w:jc w:val="end"/>
            <w:rPr>
              <w:rFonts w:ascii="Interstate-Light" w:hAnsi="Interstate-Light" w:cs="Interstate-Light"/>
              <w:sz w:val="14"/>
            </w:rPr>
          </w:pPr>
          <w:r>
            <w:rPr>
              <w:rFonts w:cs="Interstate-Light" w:ascii="Interstate-Light" w:hAnsi="Interstate-Light"/>
              <w:sz w:val="14"/>
            </w:rPr>
            <w:t>Pager:</w:t>
          </w:r>
          <w:bookmarkStart w:id="12" w:name="SenderPager"/>
          <w:bookmarkEnd w:id="12"/>
          <w:r>
            <w:rPr>
              <w:rFonts w:cs="Interstate-Light" w:ascii="Interstate-Light" w:hAnsi="Interstate-Light"/>
              <w:sz w:val="14"/>
            </w:rPr>
            <w:t xml:space="preserve">  619 . 526 . 7769</w:t>
          </w:r>
        </w:p>
        <w:p>
          <w:pPr>
            <w:pStyle w:val="Normal"/>
            <w:widowControl/>
            <w:tabs>
              <w:tab w:val="clear" w:pos="720"/>
              <w:tab w:val="left" w:pos="2808" w:leader="none"/>
            </w:tabs>
            <w:spacing w:lineRule="auto" w:line="180"/>
            <w:jc w:val="end"/>
            <w:rPr>
              <w:rFonts w:ascii="Interstate-Light" w:hAnsi="Interstate-Light" w:cs="Interstate-Light"/>
              <w:sz w:val="14"/>
            </w:rPr>
          </w:pPr>
          <w:bookmarkStart w:id="13" w:name="SenderE_mail"/>
          <w:bookmarkEnd w:id="13"/>
          <w:r>
            <w:rPr>
              <w:rFonts w:cs="Interstate-Light" w:ascii="Interstate-Light" w:hAnsi="Interstate-Light"/>
              <w:sz w:val="14"/>
            </w:rPr>
            <w:t>lschavrien@sempra.com</w:t>
          </w:r>
        </w:p>
      </w:tc>
    </w:tr>
  </w:tbl>
  <w:p>
    <w:pPr>
      <w:pStyle w:val="Header"/>
      <w:widowControl/>
      <w:rPr>
        <w:sz w:val="2"/>
      </w:rPr>
    </w:pPr>
    <w:r>
      <w:rPr>
        <w:sz w:val="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ind w:start="-1440" w:end="-720"/>
      <w:jc w:val="center"/>
      <w:rPr>
        <w:sz w:val="20"/>
      </w:rPr>
    </w:pPr>
    <w:r>
      <w:rPr/>
      <w:t>ATTACHMENT A</w:t>
    </w:r>
  </w:p>
  <w:p>
    <w:pPr>
      <w:pStyle w:val="Normal"/>
      <w:spacing w:lineRule="auto" w:line="480"/>
      <w:ind w:end="-720"/>
      <w:rPr>
        <w:sz w:val="20"/>
      </w:rPr>
    </w:pPr>
    <w:r>
      <w:rPr>
        <w:sz w:val="20"/>
      </w:rPr>
      <w:drawing>
        <wp:inline distT="0" distB="0" distL="0" distR="0">
          <wp:extent cx="1671320" cy="52387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rcRect l="-6" t="-20" r="-6" b="-20"/>
                  <a:stretch>
                    <a:fillRect/>
                  </a:stretch>
                </pic:blipFill>
                <pic:spPr bwMode="auto">
                  <a:xfrm>
                    <a:off x="0" y="0"/>
                    <a:ext cx="1671320" cy="523875"/>
                  </a:xfrm>
                  <a:prstGeom prst="rect">
                    <a:avLst/>
                  </a:prstGeom>
                  <a:noFill/>
                </pic:spPr>
              </pic:pic>
            </a:graphicData>
          </a:graphic>
        </wp:inline>
      </w:drawing>
    </w:r>
  </w:p>
  <w:p>
    <w:pPr>
      <w:pStyle w:val="Normal"/>
      <w:spacing w:lineRule="auto" w:line="240"/>
      <w:jc w:val="end"/>
      <w:rPr>
        <w:rFonts w:ascii="Arial Narrow" w:hAnsi="Arial Narrow" w:cs="Arial Narrow"/>
        <w:spacing w:val="40"/>
        <w:sz w:val="44"/>
      </w:rPr>
    </w:pPr>
    <w:r>
      <w:rPr>
        <w:rFonts w:cs="Arial Narrow" w:ascii="Arial Narrow" w:hAnsi="Arial Narrow"/>
        <w:spacing w:val="40"/>
        <w:sz w:val="44"/>
      </w:rPr>
      <w:t>Interoffice Memorandum</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75"/>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uto" w:line="278"/>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lineRule="auto" w:line="240"/>
      <w:outlineLvl w:val="0"/>
    </w:pPr>
    <w:rPr>
      <w:b/>
    </w:rPr>
  </w:style>
  <w:style w:type="paragraph" w:styleId="Heading2">
    <w:name w:val="heading 2"/>
    <w:basedOn w:val="Normal"/>
    <w:next w:val="Normal"/>
    <w:qFormat/>
    <w:pPr>
      <w:keepNext w:val="true"/>
      <w:widowControl/>
      <w:numPr>
        <w:ilvl w:val="1"/>
        <w:numId w:val="1"/>
      </w:numPr>
      <w:spacing w:lineRule="auto" w:line="360"/>
      <w:ind w:hanging="0" w:start="0" w:end="1296"/>
      <w:outlineLvl w:val="1"/>
    </w:pPr>
    <w:rPr/>
  </w:style>
  <w:style w:type="character" w:styleId="DefaultParagraphFont">
    <w:name w:val="Default Paragraph Font"/>
    <w:qForma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sz w:val="20"/>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auto" w:line="240"/>
      <w:ind w:hanging="0" w:start="0" w:end="2347"/>
    </w:pPr>
    <w:rPr>
      <w:rFonts w:ascii="Interstate-Light" w:hAnsi="Interstate-Light" w:cs="Interstate-Light"/>
      <w:b/>
    </w:rPr>
  </w:style>
  <w:style w:type="paragraph" w:styleId="Footer">
    <w:name w:val="footer"/>
    <w:basedOn w:val="Normal"/>
    <w:pPr>
      <w:tabs>
        <w:tab w:val="clear" w:pos="720"/>
        <w:tab w:val="center" w:pos="4320" w:leader="none"/>
        <w:tab w:val="right" w:pos="8640" w:leader="none"/>
      </w:tabs>
      <w:spacing w:lineRule="auto" w:line="240"/>
    </w:pPr>
    <w:rPr/>
  </w:style>
  <w:style w:type="paragraph" w:styleId="Notations">
    <w:name w:val="Notations"/>
    <w:basedOn w:val="Normal"/>
    <w:next w:val="Normal"/>
    <w:qFormat/>
    <w:pPr>
      <w:tabs>
        <w:tab w:val="clear" w:pos="720"/>
        <w:tab w:val="left" w:pos="0" w:leader="none"/>
      </w:tabs>
      <w:spacing w:lineRule="auto" w:line="240"/>
      <w:ind w:hanging="1267" w:start="1267" w:end="0"/>
    </w:pPr>
    <w:rPr/>
  </w:style>
  <w:style w:type="paragraph" w:styleId="Space">
    <w:name w:val="Space"/>
    <w:basedOn w:val="Normal"/>
    <w:qFormat/>
    <w:pPr/>
    <w:rPr/>
  </w:style>
  <w:style w:type="paragraph" w:styleId="Card">
    <w:name w:val="Card"/>
    <w:basedOn w:val="Normal"/>
    <w:qFormat/>
    <w:pPr>
      <w:spacing w:lineRule="auto" w:line="180"/>
      <w:ind w:hanging="0" w:start="0" w:end="115"/>
      <w:jc w:val="end"/>
    </w:pPr>
    <w:rPr>
      <w:sz w:val="14"/>
    </w:rPr>
  </w:style>
  <w:style w:type="paragraph" w:styleId="CopyList">
    <w:name w:val="CopyList"/>
    <w:basedOn w:val="Notations"/>
    <w:next w:val="Normal"/>
    <w:qFormat/>
    <w:pPr>
      <w:tabs>
        <w:tab w:val="clear" w:pos="0"/>
        <w:tab w:val="left" w:pos="360" w:leader="none"/>
      </w:tabs>
      <w:ind w:hanging="720" w:start="720" w:end="0"/>
    </w:pPr>
    <w:rPr/>
  </w:style>
  <w:style w:type="paragraph" w:styleId="Enclosures">
    <w:name w:val="Enclosures"/>
    <w:basedOn w:val="Normal"/>
    <w:next w:val="Normal"/>
    <w:qFormat/>
    <w:pPr>
      <w:tabs>
        <w:tab w:val="clear" w:pos="720"/>
        <w:tab w:val="left" w:pos="1260" w:leader="none"/>
      </w:tabs>
      <w:spacing w:lineRule="auto" w:line="240"/>
      <w:ind w:hanging="1260" w:start="1260" w:end="0"/>
    </w:pPr>
    <w:rPr/>
  </w:style>
  <w:style w:type="paragraph" w:styleId="HiddenText">
    <w:name w:val="Hidden Text"/>
    <w:basedOn w:val="Normal"/>
    <w:qFormat/>
    <w:pPr/>
    <w:rPr>
      <w:vanish/>
    </w:rPr>
  </w:style>
  <w:style w:type="paragraph" w:styleId="VisibleText">
    <w:name w:val="Visible Text"/>
    <w:basedOn w:val="HiddenText"/>
    <w:qFormat/>
    <w:pPr/>
    <w:rPr>
      <w:vanish w:val="false"/>
    </w:rPr>
  </w:style>
  <w:style w:type="paragraph" w:styleId="CommentText">
    <w:name w:val="Comment Text"/>
    <w:basedOn w:val="Normal"/>
    <w:qFormat/>
    <w:pPr/>
    <w:rPr>
      <w:sz w:val="20"/>
    </w:rPr>
  </w:style>
  <w:style w:type="paragraph" w:styleId="FootnoteText">
    <w:name w:val="footnote text"/>
    <w:basedOn w:val="Normal"/>
    <w:pPr/>
    <w:rPr>
      <w:sz w:val="20"/>
    </w:rPr>
  </w:style>
  <w:style w:type="paragraph" w:styleId="To-From-DateofMemo">
    <w:name w:val="To-From-Date of Memo"/>
    <w:basedOn w:val="Normal"/>
    <w:qFormat/>
    <w:pPr>
      <w:widowControl/>
      <w:tabs>
        <w:tab w:val="clear" w:pos="720"/>
        <w:tab w:val="left" w:pos="1440" w:leader="none"/>
        <w:tab w:val="left" w:pos="4320" w:leader="none"/>
      </w:tabs>
      <w:spacing w:lineRule="auto" w:line="240" w:before="0" w:after="240"/>
      <w:ind w:hanging="1440" w:start="1440" w:end="0"/>
    </w:pPr>
    <w:rPr/>
  </w:style>
  <w:style w:type="paragraph" w:styleId="SubjectofMemo">
    <w:name w:val="Subject of Memo"/>
    <w:basedOn w:val="Normal"/>
    <w:next w:val="Normal"/>
    <w:qFormat/>
    <w:pPr>
      <w:widowControl/>
      <w:tabs>
        <w:tab w:val="clear" w:pos="720"/>
        <w:tab w:val="left" w:pos="1440" w:leader="none"/>
      </w:tabs>
      <w:spacing w:lineRule="auto" w:line="240" w:before="0" w:after="480"/>
      <w:ind w:hanging="144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1999-10-14T18:03:00Z</dcterms:created>
  <dc:creator>Electronic Tariffs System</dc:creator>
  <dc:description/>
  <dc:language>en-CA</dc:language>
  <cp:lastModifiedBy>Sempra Energy</cp:lastModifiedBy>
  <cp:lastPrinted>1999-10-14T13:33:00Z</cp:lastPrinted>
  <dcterms:modified xsi:type="dcterms:W3CDTF">1999-10-14T18:03:00Z</dcterms:modified>
  <cp:revision>2</cp:revision>
  <dc:subject/>
  <dc:title>General Letterhead</dc:title>
</cp:coreProperties>
</file>