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Confidential Resume</w:t>
      </w:r>
    </w:p>
    <w:p>
      <w:pPr>
        <w:pStyle w:val="Heading2"/>
        <w:ind w:hanging="0" w:start="0"/>
        <w:jc w:val="center"/>
        <w:rPr/>
      </w:pPr>
      <w:r>
        <w:rPr/>
        <w:t>A.J. McCormac</w:t>
      </w:r>
    </w:p>
    <w:p>
      <w:pPr>
        <w:pStyle w:val="Normal"/>
        <w:jc w:val="center"/>
        <w:rPr>
          <w:sz w:val="18"/>
        </w:rPr>
      </w:pPr>
      <w:r>
        <w:rPr>
          <w:sz w:val="18"/>
        </w:rPr>
        <w:t>17903 Echobend Lane</w:t>
      </w:r>
    </w:p>
    <w:p>
      <w:pPr>
        <w:pStyle w:val="Normal"/>
        <w:jc w:val="center"/>
        <w:rPr>
          <w:sz w:val="18"/>
        </w:rPr>
      </w:pPr>
      <w:r>
        <w:rPr>
          <w:sz w:val="18"/>
        </w:rPr>
        <w:t>Spring, Texas 77379</w:t>
      </w:r>
    </w:p>
    <w:p>
      <w:pPr>
        <w:pStyle w:val="Normal"/>
        <w:jc w:val="center"/>
        <w:rPr>
          <w:sz w:val="18"/>
        </w:rPr>
      </w:pPr>
      <w:r>
        <w:rPr>
          <w:sz w:val="18"/>
        </w:rPr>
        <w:t>W# 713-207-7162 H#281-379-4191</w:t>
      </w:r>
    </w:p>
    <w:p>
      <w:pPr>
        <w:pStyle w:val="Normal"/>
        <w:jc w:val="center"/>
        <w:rPr>
          <w:sz w:val="18"/>
        </w:rPr>
      </w:pPr>
      <w:r>
        <w:rPr>
          <w:sz w:val="18"/>
        </w:rPr>
        <w:t>Pager:  800-343-5471</w:t>
      </w:r>
    </w:p>
    <w:p>
      <w:pPr>
        <w:pStyle w:val="Normal"/>
        <w:pBdr>
          <w:bottom w:val="single" w:sz="24" w:space="1" w:color="000000"/>
        </w:pBdr>
        <w:jc w:val="end"/>
        <w:rPr>
          <w:sz w:val="18"/>
        </w:rPr>
      </w:pPr>
      <w:r>
        <w:rPr>
          <w:sz w:val="18"/>
        </w:rPr>
      </w:r>
    </w:p>
    <w:p>
      <w:pPr>
        <w:pStyle w:val="Normal"/>
        <w:jc w:val="end"/>
        <w:rPr>
          <w:sz w:val="18"/>
        </w:rPr>
      </w:pPr>
      <w:r>
        <w:rPr>
          <w:sz w:val="18"/>
        </w:rPr>
      </w:r>
    </w:p>
    <w:p>
      <w:pPr>
        <w:pStyle w:val="BodyText"/>
        <w:rPr/>
      </w:pPr>
      <w:r>
        <w:rPr/>
        <w:t>Proven senior executive with over 18 years’ of business experience in human resources, sales, operations, customer service and marketing.  Diversified background includes providing services to public and private sectors, with multi-site managerial responsibilities within bargaining and non-bargaining unit environments.  Highly effective leader, results-driven, creative thinker, adept at integrating teams, solving problems and improving operational effectiveness.</w:t>
      </w:r>
    </w:p>
    <w:p>
      <w:pPr>
        <w:pStyle w:val="Normal"/>
        <w:jc w:val="both"/>
        <w:rPr>
          <w:sz w:val="18"/>
        </w:rPr>
      </w:pPr>
      <w:r>
        <w:rPr>
          <w:sz w:val="18"/>
        </w:rPr>
      </w:r>
    </w:p>
    <w:p>
      <w:pPr>
        <w:pStyle w:val="Heading3"/>
        <w:ind w:hanging="0" w:start="0"/>
        <w:rPr/>
      </w:pPr>
      <w:r>
        <w:rPr/>
        <w:t>Areas of Expertise</w:t>
      </w:r>
    </w:p>
    <w:p>
      <w:pPr>
        <w:pStyle w:val="Normal"/>
        <w:jc w:val="both"/>
        <w:rPr>
          <w:sz w:val="18"/>
        </w:rPr>
      </w:pPr>
      <w:r>
        <w:rPr>
          <w:sz w:val="18"/>
        </w:rPr>
      </w:r>
    </w:p>
    <w:p>
      <w:pPr>
        <w:pStyle w:val="Normal"/>
        <w:numPr>
          <w:ilvl w:val="0"/>
          <w:numId w:val="2"/>
        </w:numPr>
        <w:tabs>
          <w:tab w:val="clear" w:pos="720"/>
        </w:tabs>
        <w:ind w:hanging="720" w:start="2160" w:end="0"/>
        <w:jc w:val="both"/>
        <w:rPr>
          <w:sz w:val="18"/>
        </w:rPr>
      </w:pPr>
      <w:r>
        <w:rPr>
          <w:sz w:val="18"/>
        </w:rPr>
        <w:t>Strategic and operational Human Resources management and planning</w:t>
      </w:r>
    </w:p>
    <w:p>
      <w:pPr>
        <w:pStyle w:val="Normal"/>
        <w:numPr>
          <w:ilvl w:val="0"/>
          <w:numId w:val="2"/>
        </w:numPr>
        <w:tabs>
          <w:tab w:val="clear" w:pos="720"/>
        </w:tabs>
        <w:ind w:hanging="720" w:start="2160" w:end="0"/>
        <w:jc w:val="both"/>
        <w:rPr>
          <w:sz w:val="18"/>
        </w:rPr>
      </w:pPr>
      <w:r>
        <w:rPr>
          <w:sz w:val="18"/>
        </w:rPr>
        <w:t>Operations efficiency and loss mitigation</w:t>
      </w:r>
    </w:p>
    <w:p>
      <w:pPr>
        <w:pStyle w:val="Normal"/>
        <w:numPr>
          <w:ilvl w:val="0"/>
          <w:numId w:val="2"/>
        </w:numPr>
        <w:tabs>
          <w:tab w:val="clear" w:pos="720"/>
        </w:tabs>
        <w:ind w:hanging="720" w:start="2160" w:end="0"/>
        <w:jc w:val="both"/>
        <w:rPr>
          <w:sz w:val="18"/>
        </w:rPr>
      </w:pPr>
      <w:r>
        <w:rPr>
          <w:sz w:val="18"/>
        </w:rPr>
        <w:t>Bottom-line profitability/cost containment, start-ups/M&amp;A</w:t>
      </w:r>
    </w:p>
    <w:p>
      <w:pPr>
        <w:pStyle w:val="Normal"/>
        <w:numPr>
          <w:ilvl w:val="0"/>
          <w:numId w:val="2"/>
        </w:numPr>
        <w:tabs>
          <w:tab w:val="clear" w:pos="720"/>
        </w:tabs>
        <w:ind w:hanging="720" w:start="2160" w:end="0"/>
        <w:jc w:val="both"/>
        <w:rPr>
          <w:sz w:val="18"/>
        </w:rPr>
      </w:pPr>
      <w:r>
        <w:rPr>
          <w:sz w:val="18"/>
        </w:rPr>
        <w:t>Compliance:  FMLA, ADA, AAP, OFCCP, FLSA, COBRA, EOE</w:t>
      </w:r>
    </w:p>
    <w:p>
      <w:pPr>
        <w:pStyle w:val="Normal"/>
        <w:numPr>
          <w:ilvl w:val="0"/>
          <w:numId w:val="2"/>
        </w:numPr>
        <w:tabs>
          <w:tab w:val="clear" w:pos="720"/>
        </w:tabs>
        <w:ind w:hanging="720" w:start="2160" w:end="0"/>
        <w:jc w:val="both"/>
        <w:rPr>
          <w:sz w:val="18"/>
        </w:rPr>
      </w:pPr>
      <w:r>
        <w:rPr>
          <w:sz w:val="18"/>
        </w:rPr>
        <w:t>Labor and employee relations, behavior modification, risk management</w:t>
      </w:r>
    </w:p>
    <w:p>
      <w:pPr>
        <w:pStyle w:val="Normal"/>
        <w:numPr>
          <w:ilvl w:val="0"/>
          <w:numId w:val="2"/>
        </w:numPr>
        <w:tabs>
          <w:tab w:val="clear" w:pos="720"/>
        </w:tabs>
        <w:ind w:hanging="720" w:start="2160" w:end="0"/>
        <w:jc w:val="both"/>
        <w:rPr>
          <w:sz w:val="18"/>
        </w:rPr>
      </w:pPr>
      <w:r>
        <w:rPr>
          <w:sz w:val="18"/>
        </w:rPr>
        <w:t>Conflict resolution, mediation, contract negotiations and administration</w:t>
      </w:r>
    </w:p>
    <w:p>
      <w:pPr>
        <w:pStyle w:val="Normal"/>
        <w:numPr>
          <w:ilvl w:val="0"/>
          <w:numId w:val="2"/>
        </w:numPr>
        <w:tabs>
          <w:tab w:val="clear" w:pos="720"/>
        </w:tabs>
        <w:ind w:hanging="720" w:start="2160" w:end="0"/>
        <w:jc w:val="both"/>
        <w:rPr>
          <w:sz w:val="18"/>
        </w:rPr>
      </w:pPr>
      <w:r>
        <w:rPr>
          <w:sz w:val="18"/>
        </w:rPr>
        <w:t>Training:  management/supervisory, employee, HR professionals, sales, customer service</w:t>
      </w:r>
    </w:p>
    <w:p>
      <w:pPr>
        <w:pStyle w:val="Normal"/>
        <w:numPr>
          <w:ilvl w:val="0"/>
          <w:numId w:val="2"/>
        </w:numPr>
        <w:tabs>
          <w:tab w:val="clear" w:pos="720"/>
        </w:tabs>
        <w:ind w:hanging="720" w:start="2160" w:end="0"/>
        <w:jc w:val="both"/>
        <w:rPr>
          <w:sz w:val="18"/>
        </w:rPr>
      </w:pPr>
      <w:r>
        <w:rPr>
          <w:sz w:val="18"/>
        </w:rPr>
        <w:t>Succession planning, TQM, high performance work systems</w:t>
      </w:r>
    </w:p>
    <w:p>
      <w:pPr>
        <w:pStyle w:val="Normal"/>
        <w:numPr>
          <w:ilvl w:val="0"/>
          <w:numId w:val="2"/>
        </w:numPr>
        <w:tabs>
          <w:tab w:val="clear" w:pos="720"/>
        </w:tabs>
        <w:ind w:hanging="720" w:start="2160" w:end="0"/>
        <w:jc w:val="both"/>
        <w:rPr>
          <w:sz w:val="18"/>
        </w:rPr>
      </w:pPr>
      <w:r>
        <w:rPr>
          <w:sz w:val="18"/>
        </w:rPr>
        <w:t>Compensation and benefits, ESOP, 401K, TIP, incentive and profit based programming</w:t>
      </w:r>
    </w:p>
    <w:p>
      <w:pPr>
        <w:pStyle w:val="Normal"/>
        <w:numPr>
          <w:ilvl w:val="0"/>
          <w:numId w:val="2"/>
        </w:numPr>
        <w:tabs>
          <w:tab w:val="clear" w:pos="720"/>
        </w:tabs>
        <w:ind w:hanging="720" w:start="2160" w:end="0"/>
        <w:jc w:val="both"/>
        <w:rPr>
          <w:sz w:val="18"/>
        </w:rPr>
      </w:pPr>
      <w:r>
        <w:rPr>
          <w:sz w:val="18"/>
        </w:rPr>
        <w:t>Recruitment and rightsizing, organizational development/effectiveness</w:t>
      </w:r>
    </w:p>
    <w:p>
      <w:pPr>
        <w:pStyle w:val="Normal"/>
        <w:ind w:hanging="720" w:start="1440" w:end="0"/>
        <w:jc w:val="both"/>
        <w:rPr>
          <w:sz w:val="18"/>
        </w:rPr>
      </w:pPr>
      <w:r>
        <w:rPr>
          <w:sz w:val="18"/>
        </w:rPr>
      </w:r>
    </w:p>
    <w:p>
      <w:pPr>
        <w:pStyle w:val="Heading4"/>
        <w:ind w:hanging="0" w:start="0"/>
        <w:rPr/>
      </w:pPr>
      <w:r>
        <w:rPr/>
        <w:t>Professional Highlights</w:t>
      </w:r>
    </w:p>
    <w:p>
      <w:pPr>
        <w:pStyle w:val="Normal"/>
        <w:jc w:val="both"/>
        <w:rPr>
          <w:sz w:val="18"/>
        </w:rPr>
      </w:pPr>
      <w:r>
        <w:rPr>
          <w:sz w:val="18"/>
        </w:rPr>
      </w:r>
    </w:p>
    <w:p>
      <w:pPr>
        <w:pStyle w:val="BodyTextIndent"/>
        <w:rPr/>
      </w:pPr>
      <w:r>
        <w:rPr/>
        <w:t>6/1/00 – Present</w:t>
        <w:tab/>
      </w:r>
      <w:r>
        <w:rPr>
          <w:b/>
        </w:rPr>
        <w:t>Reliant Energy Inc.</w:t>
      </w:r>
      <w:r>
        <w:rPr/>
        <w:t>,</w:t>
      </w:r>
      <w:r>
        <w:rPr>
          <w:b/>
        </w:rPr>
        <w:t xml:space="preserve"> Executive Director Workforce Planning, Development and Technology</w:t>
      </w:r>
      <w:r>
        <w:rPr/>
        <w:t>, Houston, Texas, 55 reports, $4m HR budget, 15,000 employee base</w:t>
      </w:r>
    </w:p>
    <w:p>
      <w:pPr>
        <w:pStyle w:val="BodyTextIndent"/>
        <w:rPr/>
      </w:pPr>
      <w:r>
        <w:rPr/>
      </w:r>
    </w:p>
    <w:p>
      <w:pPr>
        <w:pStyle w:val="BodyTextIndent"/>
        <w:rPr/>
      </w:pPr>
      <w:r>
        <w:rPr/>
        <w:tab/>
        <w:t>Responsible for all facets of recruiting, placement, employment processes/systems (including background checks/testing/drug, medical and DOT screening), workforce planning strategies, new hire orientation, succession planning, domestic and international relocation services, unemployment and workers’ compensation, AAPs/Diversity, training and continuous improvement (including organizational effectiveness/design/development), HR technology/reporting, process training and development, policy and procedure governance &amp; administration, strategic planning, HR facilities management, M&amp;A/HR, MBA and College programming.</w:t>
      </w:r>
    </w:p>
    <w:p>
      <w:pPr>
        <w:pStyle w:val="BodyTextIndent"/>
        <w:rPr/>
      </w:pPr>
      <w:r>
        <w:rPr/>
      </w:r>
    </w:p>
    <w:p>
      <w:pPr>
        <w:pStyle w:val="BodyTextIndent"/>
        <w:rPr/>
      </w:pPr>
      <w:r>
        <w:rPr/>
        <w:t>1997 – 6/00</w:t>
        <w:tab/>
      </w:r>
      <w:r>
        <w:rPr>
          <w:b/>
        </w:rPr>
        <w:t>Coca-Cola Enterprises, Area Manager</w:t>
      </w:r>
      <w:r>
        <w:rPr/>
        <w:t>, Houston, Texas</w:t>
      </w:r>
    </w:p>
    <w:p>
      <w:pPr>
        <w:pStyle w:val="BodyTextIndent"/>
        <w:ind w:hanging="0" w:end="0"/>
        <w:rPr/>
      </w:pPr>
      <w:r>
        <w:rPr/>
        <w:t>$200m sales, 18m cases, 650 employees, 3 sales and distribution centers including largest within the division, divisional sales $850m.  Responsibilities included:  P&amp;L, sales leadership, operational management, forecasting, pricing, marketing, contract negotiation, community relations, increasing market share, strategic planning and establishing corresponding IRRs and business plans, regulatory/compliance/risk, OPEX control management, training/developing bench strength, and reported to senior management in Dallas and Atlanta on target COP objectives.</w:t>
      </w:r>
    </w:p>
    <w:p>
      <w:pPr>
        <w:pStyle w:val="BodyTextIndent"/>
        <w:ind w:hanging="0" w:end="0"/>
        <w:rPr/>
      </w:pPr>
      <w:r>
        <w:rPr/>
      </w:r>
    </w:p>
    <w:p>
      <w:pPr>
        <w:pStyle w:val="BodyTextIndent"/>
        <w:numPr>
          <w:ilvl w:val="0"/>
          <w:numId w:val="3"/>
        </w:numPr>
        <w:rPr/>
      </w:pPr>
      <w:r>
        <w:rPr/>
        <w:t>Area achieved 100% of COP target.</w:t>
      </w:r>
    </w:p>
    <w:p>
      <w:pPr>
        <w:pStyle w:val="BodyTextIndent"/>
        <w:ind w:hanging="0" w:start="0" w:end="0"/>
        <w:rPr/>
      </w:pPr>
      <w:r>
        <w:rPr/>
      </w:r>
    </w:p>
    <w:p>
      <w:pPr>
        <w:pStyle w:val="BodyTextIndent"/>
        <w:numPr>
          <w:ilvl w:val="0"/>
          <w:numId w:val="3"/>
        </w:numPr>
        <w:rPr/>
      </w:pPr>
      <w:r>
        <w:rPr/>
        <w:t>Significant cost controls implemented – with greater than 19% OPEX reduction.</w:t>
      </w:r>
    </w:p>
    <w:p>
      <w:pPr>
        <w:pStyle w:val="BodyTextIndent"/>
        <w:ind w:hanging="0" w:start="0" w:end="0"/>
        <w:rPr/>
      </w:pPr>
      <w:r>
        <w:rPr/>
      </w:r>
    </w:p>
    <w:p>
      <w:pPr>
        <w:pStyle w:val="BodyTextIndent"/>
        <w:numPr>
          <w:ilvl w:val="0"/>
          <w:numId w:val="3"/>
        </w:numPr>
        <w:rPr/>
      </w:pPr>
      <w:r>
        <w:rPr/>
        <w:t>Leader in Fleet Utilization, recognized Best Practice in a multitude of operations/workforce management areas.</w:t>
      </w:r>
    </w:p>
    <w:p>
      <w:pPr>
        <w:pStyle w:val="BodyTextIndent"/>
        <w:ind w:hanging="0" w:start="0" w:end="0"/>
        <w:rPr/>
      </w:pPr>
      <w:r>
        <w:rPr/>
      </w:r>
    </w:p>
    <w:p>
      <w:pPr>
        <w:pStyle w:val="BodyTextIndent"/>
        <w:numPr>
          <w:ilvl w:val="0"/>
          <w:numId w:val="3"/>
        </w:numPr>
        <w:rPr/>
      </w:pPr>
      <w:r>
        <w:rPr/>
        <w:t>Developed 20% profit despite declining sales in the national soft drink industry.</w:t>
      </w:r>
    </w:p>
    <w:p>
      <w:pPr>
        <w:pStyle w:val="BodyTextIndent"/>
        <w:rPr/>
      </w:pPr>
      <w:r>
        <w:rPr/>
      </w:r>
    </w:p>
    <w:p>
      <w:pPr>
        <w:pStyle w:val="BodyTextIndent"/>
        <w:ind w:hanging="0" w:end="0"/>
        <w:rPr/>
      </w:pPr>
      <w:r>
        <w:rPr>
          <w:b/>
        </w:rPr>
        <w:t>Director of Human Resources</w:t>
      </w:r>
      <w:r>
        <w:rPr/>
        <w:t>, Houston, Texas</w:t>
      </w:r>
    </w:p>
    <w:p>
      <w:pPr>
        <w:pStyle w:val="BodyTextIndent"/>
        <w:ind w:hanging="0" w:end="0"/>
        <w:rPr/>
      </w:pPr>
      <w:r>
        <w:rPr/>
        <w:t>26 reports, 14 locations (including two production facilities- one of which is the second largest in the U.S.) throughout Texas (52 counties), $3m HR budget, workforce of 2,300 employees, reported to General Manager/VP, division $850m sales</w:t>
      </w:r>
    </w:p>
    <w:p>
      <w:pPr>
        <w:pStyle w:val="BodyTextIndent"/>
        <w:ind w:hanging="0" w:end="0"/>
        <w:rPr/>
      </w:pPr>
      <w:r>
        <w:rPr/>
      </w:r>
    </w:p>
    <w:p>
      <w:pPr>
        <w:pStyle w:val="BodyTextIndent"/>
        <w:ind w:hanging="0" w:end="0"/>
        <w:rPr/>
      </w:pPr>
      <w:r>
        <w:rPr/>
        <w:t>Responsible for the following areas: risk management, compensation and benefits, workers’ compensation, recruitment, hiring, employee relations, litigation avoidance and case management, organization and career development, indoctrination and training, safety and industrial hygiene, public relations &amp; consumer complaints.</w:t>
      </w:r>
    </w:p>
    <w:p>
      <w:pPr>
        <w:sectPr>
          <w:footerReference w:type="default" r:id="rId2"/>
          <w:type w:val="nextPage"/>
          <w:pgSz w:w="12240" w:h="15840"/>
          <w:pgMar w:left="1440" w:right="1440" w:gutter="0" w:header="0" w:top="720" w:footer="720" w:bottom="1152"/>
          <w:pgNumType w:start="1" w:fmt="decimal"/>
          <w:formProt w:val="false"/>
          <w:textDirection w:val="lrTb"/>
          <w:docGrid w:type="default" w:linePitch="360" w:charSpace="0"/>
        </w:sectPr>
      </w:pPr>
    </w:p>
    <w:p>
      <w:pPr>
        <w:pStyle w:val="BodyTextIndent"/>
        <w:ind w:hanging="0" w:end="0"/>
        <w:rPr/>
      </w:pPr>
      <w:r>
        <w:rPr/>
      </w:r>
    </w:p>
    <w:p>
      <w:pPr>
        <w:pStyle w:val="BodyTextIndent"/>
        <w:numPr>
          <w:ilvl w:val="0"/>
          <w:numId w:val="3"/>
        </w:numPr>
        <w:rPr/>
      </w:pPr>
      <w:r>
        <w:rPr/>
        <w:t>Proven record of delivering top caliber services while maintaining tight cost controls.  Consistently exceeding performance standards under OPEX/plan.</w:t>
      </w:r>
    </w:p>
    <w:p>
      <w:pPr>
        <w:pStyle w:val="BodyTextIndent"/>
        <w:ind w:hanging="0" w:end="0"/>
        <w:rPr/>
      </w:pPr>
      <w:r>
        <w:rPr/>
      </w:r>
    </w:p>
    <w:p>
      <w:pPr>
        <w:pStyle w:val="BodyTextIndent"/>
        <w:numPr>
          <w:ilvl w:val="0"/>
          <w:numId w:val="3"/>
        </w:numPr>
        <w:rPr/>
      </w:pPr>
      <w:r>
        <w:rPr/>
        <w:t>Re-engineered department, staffing turn created vastly improved service and over $500,000 in division savings the first year.</w:t>
      </w:r>
    </w:p>
    <w:p>
      <w:pPr>
        <w:pStyle w:val="BodyTextIndent"/>
        <w:ind w:hanging="0" w:start="0" w:end="0"/>
        <w:rPr/>
      </w:pPr>
      <w:r>
        <w:rPr/>
      </w:r>
    </w:p>
    <w:p>
      <w:pPr>
        <w:pStyle w:val="BodyTextIndent"/>
        <w:numPr>
          <w:ilvl w:val="0"/>
          <w:numId w:val="3"/>
        </w:numPr>
        <w:rPr/>
      </w:pPr>
      <w:r>
        <w:rPr/>
        <w:t>Consistently scoring highest within CCE system in virtually all HR KBI’s in key areas such as diversity, 401K participation, turnover, costs controls and discretionary benefits management.</w:t>
      </w:r>
    </w:p>
    <w:p>
      <w:pPr>
        <w:pStyle w:val="BodyTextIndent"/>
        <w:ind w:hanging="0" w:start="0" w:end="0"/>
        <w:rPr/>
      </w:pPr>
      <w:r>
        <w:rPr/>
      </w:r>
    </w:p>
    <w:p>
      <w:pPr>
        <w:pStyle w:val="BodyTextIndent"/>
        <w:numPr>
          <w:ilvl w:val="0"/>
          <w:numId w:val="3"/>
        </w:numPr>
        <w:rPr/>
      </w:pPr>
      <w:r>
        <w:rPr/>
        <w:t>Performed due diligence and highly successful integration of two acquisition territories without adding additional division labor expense and while avoiding litigation despite claims being asserted by multiple employee parties.</w:t>
      </w:r>
    </w:p>
    <w:p>
      <w:pPr>
        <w:pStyle w:val="BodyTextIndent"/>
        <w:ind w:hanging="0" w:start="0" w:end="0"/>
        <w:rPr/>
      </w:pPr>
      <w:r>
        <w:rPr/>
      </w:r>
    </w:p>
    <w:p>
      <w:pPr>
        <w:pStyle w:val="BodyTextIndent"/>
        <w:numPr>
          <w:ilvl w:val="0"/>
          <w:numId w:val="3"/>
        </w:numPr>
        <w:rPr/>
      </w:pPr>
      <w:r>
        <w:rPr/>
        <w:t>100% success rate against EEO claims and appealed TWCC, zero PayDay Law claims, zero pieces of employee litigation.  Cost reduction in excess of $1.5m.</w:t>
      </w:r>
    </w:p>
    <w:p>
      <w:pPr>
        <w:pStyle w:val="BodyTextIndent"/>
        <w:rPr/>
      </w:pPr>
      <w:r>
        <w:rPr/>
      </w:r>
    </w:p>
    <w:p>
      <w:pPr>
        <w:pStyle w:val="BodyTextIndent"/>
        <w:rPr/>
      </w:pPr>
      <w:r>
        <w:rPr/>
        <w:t>1983 – 1997</w:t>
        <w:tab/>
        <w:t>Human Resources Unlimited*, Spring, Texas – a human resources, training and business consulting</w:t>
      </w:r>
    </w:p>
    <w:p>
      <w:pPr>
        <w:pStyle w:val="BodyTextIndent"/>
        <w:rPr/>
      </w:pPr>
      <w:r>
        <w:rPr/>
        <w:tab/>
      </w:r>
      <w:r>
        <w:rPr>
          <w:b/>
          <w:u w:val="single"/>
        </w:rPr>
        <w:t>Consultant/Trainer</w:t>
      </w:r>
      <w:r>
        <w:rPr/>
        <w:t xml:space="preserve"> – Assisting companies in exceeding their operational and resource management objectives through innovative consulting, training, support and auditing services.</w:t>
      </w:r>
    </w:p>
    <w:p>
      <w:pPr>
        <w:pStyle w:val="Normal"/>
        <w:ind w:hanging="1440" w:start="1440" w:end="0"/>
        <w:jc w:val="both"/>
        <w:rPr>
          <w:sz w:val="18"/>
        </w:rPr>
      </w:pPr>
      <w:r>
        <w:rPr>
          <w:sz w:val="18"/>
        </w:rPr>
      </w:r>
    </w:p>
    <w:p>
      <w:pPr>
        <w:pStyle w:val="Normal"/>
        <w:numPr>
          <w:ilvl w:val="0"/>
          <w:numId w:val="3"/>
        </w:numPr>
        <w:jc w:val="both"/>
        <w:rPr>
          <w:sz w:val="18"/>
        </w:rPr>
      </w:pPr>
      <w:r>
        <w:rPr>
          <w:sz w:val="18"/>
        </w:rPr>
        <w:t>Retained by public and private companies to handle the “nuts and bolts” of start-ups, transitional management, turnarounds, strategic planning, mergers, acquisitions, IPOs.  Responsibilities included feasibility studies, multi-state manpower allocations, restructuring, administration, stream-lined processes, requisite infrastructure, operational analysis, and training of managerial staff.</w:t>
      </w:r>
    </w:p>
    <w:p>
      <w:pPr>
        <w:pStyle w:val="Normal"/>
        <w:jc w:val="both"/>
        <w:rPr>
          <w:sz w:val="18"/>
        </w:rPr>
      </w:pPr>
      <w:r>
        <w:rPr>
          <w:sz w:val="18"/>
        </w:rPr>
      </w:r>
    </w:p>
    <w:p>
      <w:pPr>
        <w:pStyle w:val="Normal"/>
        <w:numPr>
          <w:ilvl w:val="0"/>
          <w:numId w:val="3"/>
        </w:numPr>
        <w:jc w:val="both"/>
        <w:rPr>
          <w:sz w:val="18"/>
        </w:rPr>
      </w:pPr>
      <w:r>
        <w:rPr>
          <w:sz w:val="18"/>
        </w:rPr>
        <w:t>Directed companies to enable them to improve their competitive edge through changing management from autocratic to more participative, increasing productivity, efficiency, profit and revenue streams, market share, better risk management, decreased employee related costs, improved morale and upgraded managerial skills.</w:t>
      </w:r>
    </w:p>
    <w:p>
      <w:pPr>
        <w:pStyle w:val="Normal"/>
        <w:ind w:start="1440" w:end="0"/>
        <w:jc w:val="both"/>
        <w:rPr>
          <w:sz w:val="18"/>
        </w:rPr>
      </w:pPr>
      <w:r>
        <w:rPr>
          <w:sz w:val="18"/>
        </w:rPr>
      </w:r>
    </w:p>
    <w:p>
      <w:pPr>
        <w:pStyle w:val="Normal"/>
        <w:numPr>
          <w:ilvl w:val="0"/>
          <w:numId w:val="3"/>
        </w:numPr>
        <w:jc w:val="both"/>
        <w:rPr>
          <w:sz w:val="18"/>
        </w:rPr>
      </w:pPr>
      <w:r>
        <w:rPr>
          <w:sz w:val="18"/>
        </w:rPr>
        <w:t>Projects have included business development, reengineering, negotiations, remote site management, quality assurance, improving employee moral, upgrading managerial skills programming, claims and loss mitigation, work flow analysis, recruitment, and enhanced business services such as the establishment of human resources infrastructure.</w:t>
      </w:r>
    </w:p>
    <w:p>
      <w:pPr>
        <w:pStyle w:val="Normal"/>
        <w:jc w:val="both"/>
        <w:rPr>
          <w:sz w:val="18"/>
        </w:rPr>
      </w:pPr>
      <w:r>
        <w:rPr>
          <w:sz w:val="18"/>
        </w:rPr>
      </w:r>
    </w:p>
    <w:p>
      <w:pPr>
        <w:pStyle w:val="Heading4"/>
        <w:ind w:hanging="0" w:start="0"/>
        <w:rPr/>
      </w:pPr>
      <w:r>
        <w:rPr/>
        <w:t>Sampling of Assignments</w:t>
      </w:r>
    </w:p>
    <w:p>
      <w:pPr>
        <w:pStyle w:val="Normal"/>
        <w:jc w:val="both"/>
        <w:rPr>
          <w:b/>
          <w:sz w:val="18"/>
          <w:u w:val="single"/>
        </w:rPr>
      </w:pPr>
      <w:r>
        <w:rPr>
          <w:b/>
          <w:sz w:val="18"/>
          <w:u w:val="single"/>
        </w:rPr>
      </w:r>
    </w:p>
    <w:p>
      <w:pPr>
        <w:pStyle w:val="Normal"/>
        <w:jc w:val="both"/>
        <w:rPr>
          <w:sz w:val="18"/>
        </w:rPr>
      </w:pPr>
      <w:r>
        <w:rPr>
          <w:sz w:val="18"/>
        </w:rPr>
        <w:tab/>
        <w:t>Solid Systems, Inc., Houston, Texas – high-tech, computer systems integration company</w:t>
      </w:r>
    </w:p>
    <w:p>
      <w:pPr>
        <w:pStyle w:val="Heading5"/>
        <w:rPr>
          <w:u w:val="single"/>
        </w:rPr>
      </w:pPr>
      <w:r>
        <w:rPr>
          <w:u w:val="single"/>
        </w:rPr>
        <w:t>Director of Human Resources</w:t>
      </w:r>
    </w:p>
    <w:p>
      <w:pPr>
        <w:pStyle w:val="BodyTextIndent2"/>
        <w:rPr/>
      </w:pPr>
      <w:r>
        <w:rPr/>
        <w:t>Responsible for SSI’s human resources, training and organizational development, 6 offices, 2 direct reports – HR specialist/administrative assistant and HR generalist.</w:t>
      </w:r>
    </w:p>
    <w:p>
      <w:pPr>
        <w:pStyle w:val="Normal"/>
        <w:numPr>
          <w:ilvl w:val="0"/>
          <w:numId w:val="3"/>
        </w:numPr>
        <w:jc w:val="both"/>
        <w:rPr>
          <w:sz w:val="18"/>
        </w:rPr>
      </w:pPr>
      <w:r>
        <w:rPr>
          <w:sz w:val="18"/>
        </w:rPr>
        <w:t>Within first six months developed corporate HR department and infrastructure, resulting in decreased exposure, improved compliance, $360,000 in cost savings, policies and procedures, job descriptions, developed a discretionary benefit package, conducted organizational development and wage &amp; compensation analysis.</w:t>
      </w:r>
    </w:p>
    <w:p>
      <w:pPr>
        <w:pStyle w:val="Normal"/>
        <w:jc w:val="both"/>
        <w:rPr>
          <w:sz w:val="18"/>
        </w:rPr>
      </w:pPr>
      <w:r>
        <w:rPr>
          <w:sz w:val="18"/>
        </w:rPr>
      </w:r>
    </w:p>
    <w:p>
      <w:pPr>
        <w:pStyle w:val="Normal"/>
        <w:ind w:start="720" w:end="0"/>
        <w:jc w:val="both"/>
        <w:rPr>
          <w:sz w:val="18"/>
        </w:rPr>
      </w:pPr>
      <w:r>
        <w:rPr>
          <w:sz w:val="18"/>
        </w:rPr>
        <w:t>Zycom Corporation and its subsidiary ZNSI/ICG, Houston, Texas, a telecommunications and digital service company</w:t>
      </w:r>
    </w:p>
    <w:p>
      <w:pPr>
        <w:pStyle w:val="Heading6"/>
        <w:rPr/>
      </w:pPr>
      <w:r>
        <w:rPr/>
        <w:t>Executive Vice President</w:t>
      </w:r>
    </w:p>
    <w:p>
      <w:pPr>
        <w:pStyle w:val="BodyTextIndent3"/>
        <w:rPr>
          <w:sz w:val="18"/>
        </w:rPr>
      </w:pPr>
      <w:r>
        <w:rPr>
          <w:sz w:val="18"/>
        </w:rPr>
        <w:t>Responsible for the corporate and remote human resources/training/OD, sales, IT and customer service/client relations departments.</w:t>
      </w:r>
    </w:p>
    <w:p>
      <w:pPr>
        <w:pStyle w:val="Normal"/>
        <w:numPr>
          <w:ilvl w:val="0"/>
          <w:numId w:val="3"/>
        </w:numPr>
        <w:rPr>
          <w:sz w:val="18"/>
        </w:rPr>
      </w:pPr>
      <w:r>
        <w:rPr>
          <w:sz w:val="18"/>
        </w:rPr>
        <w:t>Successfully managed five U.S. locations including a switching facility in Reno, Nevada and a sales team in Pasadena, California.</w:t>
      </w:r>
    </w:p>
    <w:p>
      <w:pPr>
        <w:pStyle w:val="Normal"/>
        <w:numPr>
          <w:ilvl w:val="0"/>
          <w:numId w:val="3"/>
        </w:numPr>
        <w:rPr>
          <w:sz w:val="18"/>
        </w:rPr>
      </w:pPr>
      <w:r>
        <w:rPr>
          <w:sz w:val="18"/>
        </w:rPr>
        <w:t>Played a key role in an acquisition and creation of processes and infrastructure which resulted in 370% business growth.  Reduced the associated labor costs by 29%.</w:t>
      </w:r>
    </w:p>
    <w:p>
      <w:pPr>
        <w:pStyle w:val="Normal"/>
        <w:rPr>
          <w:sz w:val="18"/>
        </w:rPr>
      </w:pPr>
      <w:r>
        <w:rPr>
          <w:sz w:val="18"/>
        </w:rPr>
      </w:r>
    </w:p>
    <w:p>
      <w:pPr>
        <w:pStyle w:val="Normal"/>
        <w:ind w:start="720" w:end="0"/>
        <w:rPr>
          <w:sz w:val="18"/>
        </w:rPr>
      </w:pPr>
      <w:r>
        <w:rPr>
          <w:sz w:val="18"/>
        </w:rPr>
        <w:t>Mila, Inc., Anchorage, Alaska, a full service temporary/regular placement agency and secondary educational facility</w:t>
      </w:r>
    </w:p>
    <w:p>
      <w:pPr>
        <w:pStyle w:val="Heading7"/>
        <w:rPr>
          <w:sz w:val="18"/>
        </w:rPr>
      </w:pPr>
      <w:r>
        <w:rPr>
          <w:sz w:val="18"/>
        </w:rPr>
        <w:t>Director of Placement Services</w:t>
      </w:r>
    </w:p>
    <w:p>
      <w:pPr>
        <w:pStyle w:val="Normal"/>
        <w:numPr>
          <w:ilvl w:val="0"/>
          <w:numId w:val="3"/>
        </w:numPr>
        <w:rPr>
          <w:sz w:val="18"/>
        </w:rPr>
      </w:pPr>
      <w:r>
        <w:rPr>
          <w:sz w:val="18"/>
        </w:rPr>
        <w:t>While serving as the director of this multi-million dollar personnel agency, instituted changes which resulted in the company’s revenue being doubled within the first six months.  Secured substantial contracts with Fortune 500 companies.</w:t>
      </w:r>
    </w:p>
    <w:p>
      <w:pPr>
        <w:pStyle w:val="Normal"/>
        <w:rPr>
          <w:sz w:val="18"/>
        </w:rPr>
      </w:pPr>
      <w:r>
        <w:rPr>
          <w:sz w:val="18"/>
        </w:rPr>
      </w:r>
    </w:p>
    <w:p>
      <w:pPr>
        <w:pStyle w:val="Normal"/>
        <w:rPr/>
      </w:pPr>
      <w:r>
        <w:rPr>
          <w:b/>
          <w:sz w:val="18"/>
          <w:u w:val="single"/>
        </w:rPr>
        <w:t>Education</w:t>
      </w:r>
      <w:r>
        <w:rPr>
          <w:sz w:val="18"/>
        </w:rPr>
        <w:tab/>
        <w:t>Eastern Michigan University, Ypsilanti, Michigan – Bachelor of Science Degree</w:t>
      </w:r>
    </w:p>
    <w:p>
      <w:pPr>
        <w:pStyle w:val="Normal"/>
        <w:ind w:hanging="1440" w:start="1440" w:end="0"/>
        <w:rPr>
          <w:b/>
          <w:sz w:val="18"/>
          <w:u w:val="single"/>
        </w:rPr>
      </w:pPr>
      <w:r>
        <w:rPr>
          <w:b/>
          <w:sz w:val="18"/>
          <w:u w:val="single"/>
        </w:rPr>
      </w:r>
    </w:p>
    <w:p>
      <w:pPr>
        <w:pStyle w:val="Normal"/>
        <w:ind w:hanging="1440" w:start="1440" w:end="0"/>
        <w:rPr/>
      </w:pPr>
      <w:r>
        <w:rPr>
          <w:b/>
          <w:sz w:val="18"/>
          <w:u w:val="single"/>
        </w:rPr>
        <w:t>References</w:t>
      </w:r>
      <w:r>
        <w:rPr>
          <w:sz w:val="18"/>
        </w:rPr>
        <w:tab/>
        <w:t>Excellent references available upon request.  Writing samples including a multitude of policy and procedure manuals, agreements and forms are also available.</w:t>
      </w:r>
    </w:p>
    <w:p>
      <w:pPr>
        <w:sectPr>
          <w:type w:val="continuous"/>
          <w:pgSz w:w="12240" w:h="15840"/>
          <w:pgMar w:left="1440" w:right="1440" w:gutter="0" w:header="0" w:top="720" w:footer="720" w:bottom="1152"/>
          <w:formProt w:val="false"/>
          <w:textDirection w:val="lrTb"/>
          <w:docGrid w:type="default" w:linePitch="360" w:charSpace="0"/>
        </w:sectPr>
      </w:pPr>
    </w:p>
    <w:p>
      <w:pPr>
        <w:pStyle w:val="Heading8"/>
        <w:ind w:hanging="0" w:start="0"/>
        <w:jc w:val="center"/>
        <w:rPr>
          <w:smallCaps/>
          <w:sz w:val="24"/>
        </w:rPr>
      </w:pPr>
      <w:r>
        <w:rPr>
          <w:smallCaps/>
          <w:sz w:val="24"/>
        </w:rPr>
        <w:t>Resume Addendum</w:t>
      </w:r>
    </w:p>
    <w:p>
      <w:pPr>
        <w:pStyle w:val="Heading8"/>
        <w:ind w:hanging="0" w:start="0"/>
        <w:rPr>
          <w:smallCaps/>
          <w:sz w:val="24"/>
        </w:rPr>
      </w:pPr>
      <w:r>
        <w:rPr>
          <w:smallCaps/>
          <w:sz w:val="24"/>
        </w:rPr>
      </w:r>
    </w:p>
    <w:p>
      <w:pPr>
        <w:pStyle w:val="Normal"/>
        <w:rPr/>
      </w:pPr>
      <w:r>
        <w:rPr/>
      </w:r>
    </w:p>
    <w:p>
      <w:pPr>
        <w:pStyle w:val="Heading8"/>
        <w:ind w:hanging="0" w:start="0"/>
        <w:rPr/>
      </w:pPr>
      <w:r>
        <w:rPr/>
        <w:t>Sample of Training Conducted</w:t>
      </w:r>
    </w:p>
    <w:p>
      <w:pPr>
        <w:pStyle w:val="Normal"/>
        <w:rPr/>
      </w:pPr>
      <w:r>
        <w:rPr/>
      </w:r>
    </w:p>
    <w:tbl>
      <w:tblPr>
        <w:tblW w:w="9828" w:type="dxa"/>
        <w:jc w:val="start"/>
        <w:tblInd w:w="0" w:type="dxa"/>
        <w:tblLayout w:type="fixed"/>
        <w:tblCellMar>
          <w:top w:w="0" w:type="dxa"/>
          <w:start w:w="108" w:type="dxa"/>
          <w:bottom w:w="0" w:type="dxa"/>
          <w:end w:w="108" w:type="dxa"/>
        </w:tblCellMar>
      </w:tblPr>
      <w:tblGrid>
        <w:gridCol w:w="4608"/>
        <w:gridCol w:w="270"/>
        <w:gridCol w:w="4950"/>
      </w:tblGrid>
      <w:tr>
        <w:trPr/>
        <w:tc>
          <w:tcPr>
            <w:tcW w:w="4608" w:type="dxa"/>
            <w:tcBorders/>
          </w:tcPr>
          <w:p>
            <w:pPr>
              <w:pStyle w:val="Normal"/>
              <w:rPr/>
            </w:pPr>
            <w:r>
              <w:rPr/>
              <w:t>Basics of Employment Law</w:t>
            </w:r>
          </w:p>
        </w:tc>
        <w:tc>
          <w:tcPr>
            <w:tcW w:w="270" w:type="dxa"/>
            <w:tcBorders/>
          </w:tcPr>
          <w:p>
            <w:pPr>
              <w:pStyle w:val="Normal"/>
              <w:snapToGrid w:val="false"/>
              <w:rPr/>
            </w:pPr>
            <w:r>
              <w:rPr/>
            </w:r>
          </w:p>
        </w:tc>
        <w:tc>
          <w:tcPr>
            <w:tcW w:w="4950" w:type="dxa"/>
            <w:tcBorders/>
          </w:tcPr>
          <w:p>
            <w:pPr>
              <w:pStyle w:val="Normal"/>
              <w:rPr/>
            </w:pPr>
            <w:r>
              <w:rPr/>
              <w:t>Safety</w:t>
            </w:r>
          </w:p>
        </w:tc>
      </w:tr>
      <w:tr>
        <w:trPr/>
        <w:tc>
          <w:tcPr>
            <w:tcW w:w="4608" w:type="dxa"/>
            <w:tcBorders/>
          </w:tcPr>
          <w:p>
            <w:pPr>
              <w:pStyle w:val="Normal"/>
              <w:rPr/>
            </w:pPr>
            <w:r>
              <w:rPr/>
              <w:t>Team Building/Effective Interviewing Techniques</w:t>
            </w:r>
          </w:p>
        </w:tc>
        <w:tc>
          <w:tcPr>
            <w:tcW w:w="270" w:type="dxa"/>
            <w:tcBorders/>
          </w:tcPr>
          <w:p>
            <w:pPr>
              <w:pStyle w:val="Normal"/>
              <w:snapToGrid w:val="false"/>
              <w:rPr/>
            </w:pPr>
            <w:r>
              <w:rPr/>
            </w:r>
          </w:p>
        </w:tc>
        <w:tc>
          <w:tcPr>
            <w:tcW w:w="4950" w:type="dxa"/>
            <w:tcBorders/>
          </w:tcPr>
          <w:p>
            <w:pPr>
              <w:pStyle w:val="Normal"/>
              <w:rPr/>
            </w:pPr>
            <w:r>
              <w:rPr/>
              <w:t>“</w:t>
            </w:r>
            <w:r>
              <w:rPr/>
              <w:t>On-the-Job Training”</w:t>
            </w:r>
          </w:p>
        </w:tc>
      </w:tr>
      <w:tr>
        <w:trPr/>
        <w:tc>
          <w:tcPr>
            <w:tcW w:w="4608" w:type="dxa"/>
            <w:tcBorders/>
          </w:tcPr>
          <w:p>
            <w:pPr>
              <w:pStyle w:val="Normal"/>
              <w:rPr/>
            </w:pPr>
            <w:r>
              <w:rPr/>
              <w:t>Making Change Positive</w:t>
            </w:r>
          </w:p>
        </w:tc>
        <w:tc>
          <w:tcPr>
            <w:tcW w:w="270" w:type="dxa"/>
            <w:tcBorders/>
          </w:tcPr>
          <w:p>
            <w:pPr>
              <w:pStyle w:val="Normal"/>
              <w:snapToGrid w:val="false"/>
              <w:rPr/>
            </w:pPr>
            <w:r>
              <w:rPr/>
            </w:r>
          </w:p>
        </w:tc>
        <w:tc>
          <w:tcPr>
            <w:tcW w:w="4950" w:type="dxa"/>
            <w:tcBorders/>
          </w:tcPr>
          <w:p>
            <w:pPr>
              <w:pStyle w:val="Normal"/>
              <w:rPr/>
            </w:pPr>
            <w:r>
              <w:rPr/>
              <w:t>Job Search Techniques</w:t>
            </w:r>
          </w:p>
        </w:tc>
      </w:tr>
      <w:tr>
        <w:trPr/>
        <w:tc>
          <w:tcPr>
            <w:tcW w:w="4608" w:type="dxa"/>
            <w:tcBorders/>
          </w:tcPr>
          <w:p>
            <w:pPr>
              <w:pStyle w:val="Normal"/>
              <w:rPr/>
            </w:pPr>
            <w:r>
              <w:rPr/>
              <w:t>EEO/AA</w:t>
            </w:r>
          </w:p>
        </w:tc>
        <w:tc>
          <w:tcPr>
            <w:tcW w:w="270" w:type="dxa"/>
            <w:tcBorders/>
          </w:tcPr>
          <w:p>
            <w:pPr>
              <w:pStyle w:val="Normal"/>
              <w:snapToGrid w:val="false"/>
              <w:rPr/>
            </w:pPr>
            <w:r>
              <w:rPr/>
            </w:r>
          </w:p>
        </w:tc>
        <w:tc>
          <w:tcPr>
            <w:tcW w:w="4950" w:type="dxa"/>
            <w:tcBorders/>
          </w:tcPr>
          <w:p>
            <w:pPr>
              <w:pStyle w:val="Normal"/>
              <w:rPr/>
            </w:pPr>
            <w:r>
              <w:rPr/>
              <w:t>Decisive Leadership Skills</w:t>
            </w:r>
          </w:p>
        </w:tc>
      </w:tr>
      <w:tr>
        <w:trPr/>
        <w:tc>
          <w:tcPr>
            <w:tcW w:w="4608" w:type="dxa"/>
            <w:tcBorders/>
          </w:tcPr>
          <w:p>
            <w:pPr>
              <w:pStyle w:val="Normal"/>
              <w:rPr/>
            </w:pPr>
            <w:r>
              <w:rPr/>
              <w:t>Performance Evaluation Systems/Appraisals</w:t>
            </w:r>
          </w:p>
        </w:tc>
        <w:tc>
          <w:tcPr>
            <w:tcW w:w="270" w:type="dxa"/>
            <w:tcBorders/>
          </w:tcPr>
          <w:p>
            <w:pPr>
              <w:pStyle w:val="Normal"/>
              <w:snapToGrid w:val="false"/>
              <w:rPr/>
            </w:pPr>
            <w:r>
              <w:rPr/>
            </w:r>
          </w:p>
        </w:tc>
        <w:tc>
          <w:tcPr>
            <w:tcW w:w="4950" w:type="dxa"/>
            <w:tcBorders/>
          </w:tcPr>
          <w:p>
            <w:pPr>
              <w:pStyle w:val="Normal"/>
              <w:rPr/>
            </w:pPr>
            <w:r>
              <w:rPr/>
              <w:t>Understanding the Independent Contractor Relationship</w:t>
            </w:r>
          </w:p>
        </w:tc>
      </w:tr>
      <w:tr>
        <w:trPr/>
        <w:tc>
          <w:tcPr>
            <w:tcW w:w="4608" w:type="dxa"/>
            <w:tcBorders/>
          </w:tcPr>
          <w:p>
            <w:pPr>
              <w:pStyle w:val="Normal"/>
              <w:rPr/>
            </w:pPr>
            <w:r>
              <w:rPr/>
              <w:t>Profit Sharing and Compensation Enrichment Plans</w:t>
            </w:r>
          </w:p>
        </w:tc>
        <w:tc>
          <w:tcPr>
            <w:tcW w:w="270" w:type="dxa"/>
            <w:tcBorders/>
          </w:tcPr>
          <w:p>
            <w:pPr>
              <w:pStyle w:val="Normal"/>
              <w:snapToGrid w:val="false"/>
              <w:rPr/>
            </w:pPr>
            <w:r>
              <w:rPr/>
            </w:r>
          </w:p>
        </w:tc>
        <w:tc>
          <w:tcPr>
            <w:tcW w:w="4950" w:type="dxa"/>
            <w:tcBorders/>
          </w:tcPr>
          <w:p>
            <w:pPr>
              <w:pStyle w:val="Normal"/>
              <w:rPr/>
            </w:pPr>
            <w:r>
              <w:rPr/>
              <w:t>Sensitivity</w:t>
            </w:r>
          </w:p>
        </w:tc>
      </w:tr>
      <w:tr>
        <w:trPr/>
        <w:tc>
          <w:tcPr>
            <w:tcW w:w="4608" w:type="dxa"/>
            <w:tcBorders/>
          </w:tcPr>
          <w:p>
            <w:pPr>
              <w:pStyle w:val="Normal"/>
              <w:rPr/>
            </w:pPr>
            <w:r>
              <w:rPr/>
              <w:t>Out-Placement</w:t>
            </w:r>
          </w:p>
        </w:tc>
        <w:tc>
          <w:tcPr>
            <w:tcW w:w="270" w:type="dxa"/>
            <w:tcBorders/>
          </w:tcPr>
          <w:p>
            <w:pPr>
              <w:pStyle w:val="Normal"/>
              <w:snapToGrid w:val="false"/>
              <w:rPr/>
            </w:pPr>
            <w:r>
              <w:rPr/>
            </w:r>
          </w:p>
        </w:tc>
        <w:tc>
          <w:tcPr>
            <w:tcW w:w="4950" w:type="dxa"/>
            <w:tcBorders/>
          </w:tcPr>
          <w:p>
            <w:pPr>
              <w:pStyle w:val="Normal"/>
              <w:rPr/>
            </w:pPr>
            <w:r>
              <w:rPr/>
              <w:t>Avoiding Sexual Harassment Claims</w:t>
            </w:r>
          </w:p>
        </w:tc>
      </w:tr>
      <w:tr>
        <w:trPr/>
        <w:tc>
          <w:tcPr>
            <w:tcW w:w="4608" w:type="dxa"/>
            <w:tcBorders/>
          </w:tcPr>
          <w:p>
            <w:pPr>
              <w:pStyle w:val="Normal"/>
              <w:rPr/>
            </w:pPr>
            <w:r>
              <w:rPr/>
              <w:t>Avoiding Wrongful Termination Claims</w:t>
            </w:r>
          </w:p>
        </w:tc>
        <w:tc>
          <w:tcPr>
            <w:tcW w:w="270" w:type="dxa"/>
            <w:tcBorders/>
          </w:tcPr>
          <w:p>
            <w:pPr>
              <w:pStyle w:val="Normal"/>
              <w:snapToGrid w:val="false"/>
              <w:rPr/>
            </w:pPr>
            <w:r>
              <w:rPr/>
            </w:r>
          </w:p>
        </w:tc>
        <w:tc>
          <w:tcPr>
            <w:tcW w:w="4950" w:type="dxa"/>
            <w:tcBorders/>
          </w:tcPr>
          <w:p>
            <w:pPr>
              <w:pStyle w:val="Normal"/>
              <w:rPr/>
            </w:pPr>
            <w:r>
              <w:rPr/>
              <w:t>How to Motivate</w:t>
            </w:r>
          </w:p>
        </w:tc>
      </w:tr>
      <w:tr>
        <w:trPr/>
        <w:tc>
          <w:tcPr>
            <w:tcW w:w="4608" w:type="dxa"/>
            <w:tcBorders/>
          </w:tcPr>
          <w:p>
            <w:pPr>
              <w:pStyle w:val="Normal"/>
              <w:rPr/>
            </w:pPr>
            <w:r>
              <w:rPr/>
              <w:t>Dealing with the TEC</w:t>
            </w:r>
          </w:p>
        </w:tc>
        <w:tc>
          <w:tcPr>
            <w:tcW w:w="270" w:type="dxa"/>
            <w:tcBorders/>
          </w:tcPr>
          <w:p>
            <w:pPr>
              <w:pStyle w:val="Normal"/>
              <w:snapToGrid w:val="false"/>
              <w:rPr/>
            </w:pPr>
            <w:r>
              <w:rPr/>
            </w:r>
          </w:p>
        </w:tc>
        <w:tc>
          <w:tcPr>
            <w:tcW w:w="4950" w:type="dxa"/>
            <w:tcBorders/>
          </w:tcPr>
          <w:p>
            <w:pPr>
              <w:pStyle w:val="Normal"/>
              <w:rPr/>
            </w:pPr>
            <w:r>
              <w:rPr/>
              <w:t>Avoiding Compelled Disclosure and Defamation Claims</w:t>
            </w:r>
          </w:p>
        </w:tc>
      </w:tr>
      <w:tr>
        <w:trPr/>
        <w:tc>
          <w:tcPr>
            <w:tcW w:w="4608" w:type="dxa"/>
            <w:tcBorders/>
          </w:tcPr>
          <w:p>
            <w:pPr>
              <w:pStyle w:val="Normal"/>
              <w:rPr/>
            </w:pPr>
            <w:r>
              <w:rPr/>
              <w:t>Effective Supervisory Skills</w:t>
            </w:r>
          </w:p>
        </w:tc>
        <w:tc>
          <w:tcPr>
            <w:tcW w:w="270" w:type="dxa"/>
            <w:tcBorders/>
          </w:tcPr>
          <w:p>
            <w:pPr>
              <w:pStyle w:val="Normal"/>
              <w:snapToGrid w:val="false"/>
              <w:rPr/>
            </w:pPr>
            <w:r>
              <w:rPr/>
            </w:r>
          </w:p>
        </w:tc>
        <w:tc>
          <w:tcPr>
            <w:tcW w:w="4950" w:type="dxa"/>
            <w:tcBorders/>
          </w:tcPr>
          <w:p>
            <w:pPr>
              <w:pStyle w:val="Normal"/>
              <w:rPr/>
            </w:pPr>
            <w:r>
              <w:rPr/>
              <w:t>Productive Disciplinary Actions</w:t>
            </w:r>
          </w:p>
        </w:tc>
      </w:tr>
      <w:tr>
        <w:trPr/>
        <w:tc>
          <w:tcPr>
            <w:tcW w:w="4608" w:type="dxa"/>
            <w:tcBorders/>
          </w:tcPr>
          <w:p>
            <w:pPr>
              <w:pStyle w:val="Normal"/>
              <w:rPr/>
            </w:pPr>
            <w:r>
              <w:rPr/>
              <w:t>Writing Personnel Policies and Procedures</w:t>
            </w:r>
          </w:p>
        </w:tc>
        <w:tc>
          <w:tcPr>
            <w:tcW w:w="270" w:type="dxa"/>
            <w:tcBorders/>
          </w:tcPr>
          <w:p>
            <w:pPr>
              <w:pStyle w:val="Normal"/>
              <w:snapToGrid w:val="false"/>
              <w:rPr/>
            </w:pPr>
            <w:r>
              <w:rPr/>
            </w:r>
          </w:p>
        </w:tc>
        <w:tc>
          <w:tcPr>
            <w:tcW w:w="4950" w:type="dxa"/>
            <w:tcBorders/>
          </w:tcPr>
          <w:p>
            <w:pPr>
              <w:pStyle w:val="Normal"/>
              <w:rPr/>
            </w:pPr>
            <w:r>
              <w:rPr/>
              <w:t>Dealing with Difficult Employees</w:t>
            </w:r>
          </w:p>
        </w:tc>
      </w:tr>
      <w:tr>
        <w:trPr/>
        <w:tc>
          <w:tcPr>
            <w:tcW w:w="4608" w:type="dxa"/>
            <w:tcBorders/>
          </w:tcPr>
          <w:p>
            <w:pPr>
              <w:pStyle w:val="Normal"/>
              <w:rPr/>
            </w:pPr>
            <w:r>
              <w:rPr/>
              <w:t>Drug and Alcohol Policies</w:t>
            </w:r>
          </w:p>
        </w:tc>
        <w:tc>
          <w:tcPr>
            <w:tcW w:w="270" w:type="dxa"/>
            <w:tcBorders/>
          </w:tcPr>
          <w:p>
            <w:pPr>
              <w:pStyle w:val="Normal"/>
              <w:snapToGrid w:val="false"/>
              <w:rPr/>
            </w:pPr>
            <w:r>
              <w:rPr/>
            </w:r>
          </w:p>
        </w:tc>
        <w:tc>
          <w:tcPr>
            <w:tcW w:w="4950" w:type="dxa"/>
            <w:tcBorders/>
          </w:tcPr>
          <w:p>
            <w:pPr>
              <w:pStyle w:val="Normal"/>
              <w:rPr/>
            </w:pPr>
            <w:r>
              <w:rPr/>
              <w:t>Stress Management</w:t>
            </w:r>
          </w:p>
        </w:tc>
      </w:tr>
      <w:tr>
        <w:trPr/>
        <w:tc>
          <w:tcPr>
            <w:tcW w:w="4608" w:type="dxa"/>
            <w:tcBorders/>
          </w:tcPr>
          <w:p>
            <w:pPr>
              <w:pStyle w:val="Normal"/>
              <w:rPr/>
            </w:pPr>
            <w:r>
              <w:rPr/>
              <w:t>Employee Testing</w:t>
            </w:r>
          </w:p>
        </w:tc>
        <w:tc>
          <w:tcPr>
            <w:tcW w:w="270" w:type="dxa"/>
            <w:tcBorders/>
          </w:tcPr>
          <w:p>
            <w:pPr>
              <w:pStyle w:val="Normal"/>
              <w:snapToGrid w:val="false"/>
              <w:rPr/>
            </w:pPr>
            <w:r>
              <w:rPr/>
            </w:r>
          </w:p>
        </w:tc>
        <w:tc>
          <w:tcPr>
            <w:tcW w:w="4950" w:type="dxa"/>
            <w:tcBorders/>
          </w:tcPr>
          <w:p>
            <w:pPr>
              <w:pStyle w:val="Normal"/>
              <w:rPr/>
            </w:pPr>
            <w:r>
              <w:rPr/>
              <w:t>Reducing Employee Turnover</w:t>
            </w:r>
          </w:p>
        </w:tc>
      </w:tr>
      <w:tr>
        <w:trPr/>
        <w:tc>
          <w:tcPr>
            <w:tcW w:w="4608" w:type="dxa"/>
            <w:tcBorders/>
          </w:tcPr>
          <w:p>
            <w:pPr>
              <w:pStyle w:val="Normal"/>
              <w:rPr/>
            </w:pPr>
            <w:r>
              <w:rPr/>
              <w:t>Recruiting</w:t>
            </w:r>
          </w:p>
        </w:tc>
        <w:tc>
          <w:tcPr>
            <w:tcW w:w="270" w:type="dxa"/>
            <w:tcBorders/>
          </w:tcPr>
          <w:p>
            <w:pPr>
              <w:pStyle w:val="Normal"/>
              <w:snapToGrid w:val="false"/>
              <w:rPr/>
            </w:pPr>
            <w:r>
              <w:rPr/>
            </w:r>
          </w:p>
        </w:tc>
        <w:tc>
          <w:tcPr>
            <w:tcW w:w="4950" w:type="dxa"/>
            <w:tcBorders/>
          </w:tcPr>
          <w:p>
            <w:pPr>
              <w:pStyle w:val="Normal"/>
              <w:rPr/>
            </w:pPr>
            <w:r>
              <w:rPr/>
              <w:t>Understanding Workers’ Compensation</w:t>
            </w:r>
          </w:p>
        </w:tc>
      </w:tr>
      <w:tr>
        <w:trPr/>
        <w:tc>
          <w:tcPr>
            <w:tcW w:w="4608" w:type="dxa"/>
            <w:tcBorders/>
          </w:tcPr>
          <w:p>
            <w:pPr>
              <w:pStyle w:val="Normal"/>
              <w:rPr/>
            </w:pPr>
            <w:r>
              <w:rPr/>
              <w:t>Privacy Issues</w:t>
            </w:r>
          </w:p>
        </w:tc>
        <w:tc>
          <w:tcPr>
            <w:tcW w:w="270" w:type="dxa"/>
            <w:tcBorders/>
          </w:tcPr>
          <w:p>
            <w:pPr>
              <w:pStyle w:val="Normal"/>
              <w:snapToGrid w:val="false"/>
              <w:rPr/>
            </w:pPr>
            <w:r>
              <w:rPr/>
            </w:r>
          </w:p>
        </w:tc>
        <w:tc>
          <w:tcPr>
            <w:tcW w:w="4950" w:type="dxa"/>
            <w:tcBorders/>
          </w:tcPr>
          <w:p>
            <w:pPr>
              <w:pStyle w:val="Normal"/>
              <w:rPr/>
            </w:pPr>
            <w:r>
              <w:rPr/>
              <w:t>Wage and Compensation Analysis</w:t>
            </w:r>
          </w:p>
        </w:tc>
      </w:tr>
      <w:tr>
        <w:trPr/>
        <w:tc>
          <w:tcPr>
            <w:tcW w:w="4608" w:type="dxa"/>
            <w:tcBorders/>
          </w:tcPr>
          <w:p>
            <w:pPr>
              <w:pStyle w:val="Normal"/>
              <w:rPr/>
            </w:pPr>
            <w:r>
              <w:rPr/>
              <w:t>Diversity</w:t>
            </w:r>
          </w:p>
        </w:tc>
        <w:tc>
          <w:tcPr>
            <w:tcW w:w="270" w:type="dxa"/>
            <w:tcBorders/>
          </w:tcPr>
          <w:p>
            <w:pPr>
              <w:pStyle w:val="Normal"/>
              <w:snapToGrid w:val="false"/>
              <w:rPr/>
            </w:pPr>
            <w:r>
              <w:rPr/>
            </w:r>
          </w:p>
        </w:tc>
        <w:tc>
          <w:tcPr>
            <w:tcW w:w="4950" w:type="dxa"/>
            <w:tcBorders/>
          </w:tcPr>
          <w:p>
            <w:pPr>
              <w:pStyle w:val="Normal"/>
              <w:rPr/>
            </w:pPr>
            <w:r>
              <w:rPr/>
              <w:t>Effective Communication Techniques</w:t>
            </w:r>
          </w:p>
        </w:tc>
      </w:tr>
      <w:tr>
        <w:trPr/>
        <w:tc>
          <w:tcPr>
            <w:tcW w:w="4608" w:type="dxa"/>
            <w:tcBorders/>
          </w:tcPr>
          <w:p>
            <w:pPr>
              <w:pStyle w:val="Normal"/>
              <w:rPr/>
            </w:pPr>
            <w:r>
              <w:rPr/>
              <w:t>Sales Management</w:t>
            </w:r>
          </w:p>
        </w:tc>
        <w:tc>
          <w:tcPr>
            <w:tcW w:w="270" w:type="dxa"/>
            <w:tcBorders/>
          </w:tcPr>
          <w:p>
            <w:pPr>
              <w:pStyle w:val="Normal"/>
              <w:snapToGrid w:val="false"/>
              <w:rPr/>
            </w:pPr>
            <w:r>
              <w:rPr/>
            </w:r>
          </w:p>
        </w:tc>
        <w:tc>
          <w:tcPr>
            <w:tcW w:w="4950" w:type="dxa"/>
            <w:tcBorders/>
          </w:tcPr>
          <w:p>
            <w:pPr>
              <w:pStyle w:val="Normal"/>
              <w:rPr/>
            </w:pPr>
            <w:r>
              <w:rPr/>
              <w:t>How to be an Effective Leader</w:t>
            </w:r>
          </w:p>
        </w:tc>
      </w:tr>
      <w:tr>
        <w:trPr/>
        <w:tc>
          <w:tcPr>
            <w:tcW w:w="4608" w:type="dxa"/>
            <w:tcBorders/>
          </w:tcPr>
          <w:p>
            <w:pPr>
              <w:pStyle w:val="Normal"/>
              <w:rPr/>
            </w:pPr>
            <w:r>
              <w:rPr/>
              <w:t>Training Trainers and Facilitators</w:t>
            </w:r>
          </w:p>
        </w:tc>
        <w:tc>
          <w:tcPr>
            <w:tcW w:w="270" w:type="dxa"/>
            <w:tcBorders/>
          </w:tcPr>
          <w:p>
            <w:pPr>
              <w:pStyle w:val="Normal"/>
              <w:snapToGrid w:val="false"/>
              <w:rPr/>
            </w:pPr>
            <w:r>
              <w:rPr/>
            </w:r>
          </w:p>
        </w:tc>
        <w:tc>
          <w:tcPr>
            <w:tcW w:w="4950" w:type="dxa"/>
            <w:tcBorders/>
          </w:tcPr>
          <w:p>
            <w:pPr>
              <w:pStyle w:val="Normal"/>
              <w:rPr/>
            </w:pPr>
            <w:r>
              <w:rPr/>
              <w:t>Building Stronger Management Teams</w:t>
            </w:r>
          </w:p>
        </w:tc>
      </w:tr>
      <w:tr>
        <w:trPr/>
        <w:tc>
          <w:tcPr>
            <w:tcW w:w="4608" w:type="dxa"/>
            <w:tcBorders/>
          </w:tcPr>
          <w:p>
            <w:pPr>
              <w:pStyle w:val="Normal"/>
              <w:rPr/>
            </w:pPr>
            <w:r>
              <w:rPr/>
              <w:t>Administering a Communicable Disease Policy</w:t>
            </w:r>
          </w:p>
        </w:tc>
        <w:tc>
          <w:tcPr>
            <w:tcW w:w="270" w:type="dxa"/>
            <w:tcBorders/>
          </w:tcPr>
          <w:p>
            <w:pPr>
              <w:pStyle w:val="Normal"/>
              <w:snapToGrid w:val="false"/>
              <w:rPr/>
            </w:pPr>
            <w:r>
              <w:rPr/>
            </w:r>
          </w:p>
        </w:tc>
        <w:tc>
          <w:tcPr>
            <w:tcW w:w="4950" w:type="dxa"/>
            <w:tcBorders/>
          </w:tcPr>
          <w:p>
            <w:pPr>
              <w:pStyle w:val="Normal"/>
              <w:snapToGrid w:val="false"/>
              <w:rPr/>
            </w:pPr>
            <w:r>
              <w:rPr/>
            </w:r>
          </w:p>
        </w:tc>
      </w:tr>
    </w:tbl>
    <w:p>
      <w:pPr>
        <w:pStyle w:val="Normal"/>
        <w:rPr/>
      </w:pPr>
      <w:r>
        <w:rPr/>
      </w:r>
    </w:p>
    <w:p>
      <w:pPr>
        <w:pStyle w:val="Normal"/>
        <w:rPr/>
      </w:pPr>
      <w:r>
        <w:rPr/>
      </w:r>
    </w:p>
    <w:p>
      <w:pPr>
        <w:pStyle w:val="Heading8"/>
        <w:ind w:hanging="0" w:start="0"/>
        <w:rPr/>
      </w:pPr>
      <w:r>
        <w:rPr/>
        <w:t>Additional Professional Highlights</w:t>
      </w:r>
    </w:p>
    <w:p>
      <w:pPr>
        <w:pStyle w:val="Normal"/>
        <w:rPr/>
      </w:pPr>
      <w:r>
        <w:rPr/>
      </w:r>
    </w:p>
    <w:p>
      <w:pPr>
        <w:pStyle w:val="Normal"/>
        <w:numPr>
          <w:ilvl w:val="0"/>
          <w:numId w:val="3"/>
        </w:numPr>
        <w:tabs>
          <w:tab w:val="clear" w:pos="720"/>
        </w:tabs>
        <w:ind w:hanging="720" w:start="720" w:end="0"/>
        <w:rPr/>
      </w:pPr>
      <w:r>
        <w:rPr/>
        <w:t>Developed highly acclaimed training programs for both the private and the public sectors.  In doing so, demonstrated the following core competencies:  administration, communication, course design, evaluation, group dynamic processes, learning theory, manpower planning, person-organization interface, teaching practice, training equipment, materials and training needs analysis.</w:t>
      </w:r>
    </w:p>
    <w:p>
      <w:pPr>
        <w:pStyle w:val="Normal"/>
        <w:rPr/>
      </w:pPr>
      <w:r>
        <w:rPr/>
      </w:r>
    </w:p>
    <w:p>
      <w:pPr>
        <w:pStyle w:val="Normal"/>
        <w:numPr>
          <w:ilvl w:val="0"/>
          <w:numId w:val="3"/>
        </w:numPr>
        <w:tabs>
          <w:tab w:val="clear" w:pos="720"/>
        </w:tabs>
        <w:ind w:hanging="720" w:start="720" w:end="0"/>
        <w:rPr/>
      </w:pPr>
      <w:r>
        <w:rPr/>
        <w:t>Management and business consultant with a proven track record of reducing clients’ costs (by an average of thirty-five (35) percent), preventing costly litigation, resolving labor disputes, establishing budgets/P&amp;Ls and cost centers, and minimizing overall corporate exposure.</w:t>
      </w:r>
    </w:p>
    <w:p>
      <w:pPr>
        <w:pStyle w:val="Normal"/>
        <w:rPr/>
      </w:pPr>
      <w:r>
        <w:rPr/>
      </w:r>
    </w:p>
    <w:p>
      <w:pPr>
        <w:pStyle w:val="Normal"/>
        <w:numPr>
          <w:ilvl w:val="0"/>
          <w:numId w:val="3"/>
        </w:numPr>
        <w:tabs>
          <w:tab w:val="clear" w:pos="720"/>
        </w:tabs>
        <w:ind w:hanging="720" w:start="720" w:end="0"/>
        <w:rPr/>
      </w:pPr>
      <w:r>
        <w:rPr/>
        <w:t>Outstanding results achieved in teaching managers/supervisor/corporate leaders to work more profitably and as cohesive teams.  Adept at analyzing whole picture, spotting needed improvements and tactfully convincing other to make profit-increasing, company-strengthening decisions that benefit everyone.  Able to develop team spirit and camaraderie among employee groups in spite of acquisitions, staffing changes and cost cutting measures.</w:t>
      </w:r>
    </w:p>
    <w:p>
      <w:pPr>
        <w:pStyle w:val="Normal"/>
        <w:rPr/>
      </w:pPr>
      <w:r>
        <w:rPr/>
      </w:r>
    </w:p>
    <w:p>
      <w:pPr>
        <w:pStyle w:val="Normal"/>
        <w:numPr>
          <w:ilvl w:val="0"/>
          <w:numId w:val="3"/>
        </w:numPr>
        <w:tabs>
          <w:tab w:val="clear" w:pos="720"/>
        </w:tabs>
        <w:ind w:hanging="720" w:start="720" w:end="0"/>
        <w:rPr/>
      </w:pPr>
      <w:r>
        <w:rPr/>
        <w:t>Implemented substantial cost reductions for clients by implementing ERISA workplace injury programs, reducing attorney fees, negotiating discounts with health care providers, implementing innovative discretionary packages, dramatically reducing employee turnover and head counts, peaceful resolutions of labor disputes, retraining management, restructuring administration, implementing policies and procedures, operations and personnel functions and resolving disputes out of court.</w:t>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r>
      <w:rPr>
        <w:rStyle w:val="PageNumber"/>
        <w:sz w:val="18"/>
      </w:rPr>
      <w:t xml:space="preserve"> </w:t>
    </w:r>
    <w:r>
      <w:rPr>
        <w:rStyle w:val="PageNumber"/>
        <w:sz w:val="18"/>
      </w:rPr>
      <w:t>of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997"/>
      <w:numFmt w:val="bullet"/>
      <w:lvlText w:val=""/>
      <w:lvlJc w:val="start"/>
      <w:pPr>
        <w:tabs>
          <w:tab w:val="num" w:pos="2160"/>
        </w:tabs>
        <w:ind w:start="2160" w:hanging="72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i/>
      <w:sz w:val="24"/>
    </w:rPr>
  </w:style>
  <w:style w:type="paragraph" w:styleId="Heading2">
    <w:name w:val="heading 2"/>
    <w:basedOn w:val="Normal"/>
    <w:next w:val="Normal"/>
    <w:qFormat/>
    <w:pPr>
      <w:keepNext w:val="true"/>
      <w:numPr>
        <w:ilvl w:val="1"/>
        <w:numId w:val="1"/>
      </w:numPr>
      <w:jc w:val="end"/>
      <w:outlineLvl w:val="1"/>
    </w:pPr>
    <w:rPr>
      <w:b/>
      <w:sz w:val="28"/>
    </w:rPr>
  </w:style>
  <w:style w:type="paragraph" w:styleId="Heading3">
    <w:name w:val="heading 3"/>
    <w:basedOn w:val="Normal"/>
    <w:next w:val="Normal"/>
    <w:qFormat/>
    <w:pPr>
      <w:keepNext w:val="true"/>
      <w:numPr>
        <w:ilvl w:val="2"/>
        <w:numId w:val="1"/>
      </w:numPr>
      <w:jc w:val="center"/>
      <w:outlineLvl w:val="2"/>
    </w:pPr>
    <w:rPr>
      <w:b/>
      <w:sz w:val="18"/>
      <w:u w:val="single"/>
    </w:rPr>
  </w:style>
  <w:style w:type="paragraph" w:styleId="Heading4">
    <w:name w:val="heading 4"/>
    <w:basedOn w:val="Normal"/>
    <w:next w:val="Normal"/>
    <w:qFormat/>
    <w:pPr>
      <w:keepNext w:val="true"/>
      <w:numPr>
        <w:ilvl w:val="3"/>
        <w:numId w:val="1"/>
      </w:numPr>
      <w:jc w:val="both"/>
      <w:outlineLvl w:val="3"/>
    </w:pPr>
    <w:rPr>
      <w:b/>
      <w:sz w:val="18"/>
      <w:u w:val="single"/>
    </w:rPr>
  </w:style>
  <w:style w:type="paragraph" w:styleId="Heading5">
    <w:name w:val="heading 5"/>
    <w:basedOn w:val="Normal"/>
    <w:next w:val="Normal"/>
    <w:qFormat/>
    <w:pPr>
      <w:keepNext w:val="true"/>
      <w:numPr>
        <w:ilvl w:val="4"/>
        <w:numId w:val="1"/>
      </w:numPr>
      <w:ind w:firstLine="720" w:start="0" w:end="0"/>
      <w:jc w:val="both"/>
      <w:outlineLvl w:val="4"/>
    </w:pPr>
    <w:rPr>
      <w:b/>
      <w:sz w:val="18"/>
    </w:rPr>
  </w:style>
  <w:style w:type="paragraph" w:styleId="Heading6">
    <w:name w:val="heading 6"/>
    <w:basedOn w:val="Normal"/>
    <w:next w:val="Normal"/>
    <w:qFormat/>
    <w:pPr>
      <w:keepNext w:val="true"/>
      <w:numPr>
        <w:ilvl w:val="5"/>
        <w:numId w:val="1"/>
      </w:numPr>
      <w:ind w:hanging="0" w:start="720" w:end="0"/>
      <w:jc w:val="both"/>
      <w:outlineLvl w:val="5"/>
    </w:pPr>
    <w:rPr>
      <w:b/>
      <w:sz w:val="18"/>
      <w:u w:val="single"/>
    </w:rPr>
  </w:style>
  <w:style w:type="paragraph" w:styleId="Heading7">
    <w:name w:val="heading 7"/>
    <w:basedOn w:val="Normal"/>
    <w:next w:val="Normal"/>
    <w:qFormat/>
    <w:pPr>
      <w:keepNext w:val="true"/>
      <w:numPr>
        <w:ilvl w:val="6"/>
        <w:numId w:val="1"/>
      </w:numPr>
      <w:ind w:hanging="0" w:start="720" w:end="0"/>
      <w:outlineLvl w:val="6"/>
    </w:pPr>
    <w:rPr>
      <w:b/>
      <w:u w:val="single"/>
    </w:rPr>
  </w:style>
  <w:style w:type="paragraph" w:styleId="Heading8">
    <w:name w:val="heading 8"/>
    <w:basedOn w:val="Normal"/>
    <w:next w:val="Normal"/>
    <w:qFormat/>
    <w:pPr>
      <w:keepNext w:val="true"/>
      <w:numPr>
        <w:ilvl w:val="7"/>
        <w:numId w:val="1"/>
      </w:numPr>
      <w:outlineLvl w:val="7"/>
    </w:pPr>
    <w:rPr>
      <w:b/>
      <w:u w:val="single"/>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z w:val="18"/>
    </w:rPr>
  </w:style>
  <w:style w:type="paragraph" w:styleId="BodyTextIndent2">
    <w:name w:val="Body Text Indent 2"/>
    <w:basedOn w:val="Normal"/>
    <w:qFormat/>
    <w:pPr>
      <w:ind w:hanging="0" w:start="720" w:end="0"/>
      <w:jc w:val="both"/>
    </w:pPr>
    <w:rPr>
      <w:sz w:val="18"/>
    </w:rPr>
  </w:style>
  <w:style w:type="paragraph" w:styleId="BodyTextIndent3">
    <w:name w:val="Body Text Indent 3"/>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2000-09-25T15:59:00Z</dcterms:created>
  <dc:creator>t010373</dc:creator>
  <dc:description/>
  <dc:language>en-CA</dc:language>
  <cp:lastModifiedBy>Christine Fiehn</cp:lastModifiedBy>
  <cp:lastPrinted>2000-09-21T10:46:00Z</cp:lastPrinted>
  <dcterms:modified xsi:type="dcterms:W3CDTF">2000-09-25T16:00:00Z</dcterms:modified>
  <cp:revision>4</cp:revision>
  <dc:subject/>
  <dc:title>Confidential Resume</dc:title>
</cp:coreProperties>
</file>