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“A”</w:t>
      </w:r>
    </w:p>
    <w:p>
      <w:pPr>
        <w:pStyle w:val="Normal"/>
        <w:rPr>
          <w:b/>
        </w:rPr>
      </w:pPr>
      <w:r>
        <w:rPr>
          <w:b/>
        </w:rPr>
      </w:r>
    </w:p>
    <w:p>
      <w:pPr>
        <w:pStyle w:val="Normal"/>
        <w:jc w:val="center"/>
        <w:rPr>
          <w:b/>
        </w:rPr>
      </w:pPr>
      <w:r>
        <w:rPr>
          <w:b/>
        </w:rPr>
        <w:t>Term Sheet for</w:t>
        <w:br/>
        <w:t>Purchase of the Elizabethtown and Lumberton Assets</w:t>
      </w:r>
    </w:p>
    <w:p>
      <w:pPr>
        <w:pStyle w:val="Normal"/>
        <w:jc w:val="center"/>
        <w:rPr/>
      </w:pPr>
      <w:r>
        <w:rPr/>
      </w:r>
    </w:p>
    <w:p>
      <w:pPr>
        <w:pStyle w:val="Normal"/>
        <w:jc w:val="center"/>
        <w:rPr/>
      </w:pPr>
      <w:r>
        <w:rPr/>
      </w:r>
    </w:p>
    <w:tbl>
      <w:tblPr>
        <w:tblW w:w="9576" w:type="dxa"/>
        <w:jc w:val="start"/>
        <w:tblInd w:w="0" w:type="dxa"/>
        <w:tblLayout w:type="fixed"/>
        <w:tblCellMar>
          <w:top w:w="0" w:type="dxa"/>
          <w:start w:w="108" w:type="dxa"/>
          <w:bottom w:w="0" w:type="dxa"/>
          <w:end w:w="108" w:type="dxa"/>
        </w:tblCellMar>
      </w:tblPr>
      <w:tblGrid>
        <w:gridCol w:w="1998"/>
        <w:gridCol w:w="7578"/>
      </w:tblGrid>
      <w:tr>
        <w:trPr/>
        <w:tc>
          <w:tcPr>
            <w:tcW w:w="1998" w:type="dxa"/>
            <w:tcBorders/>
          </w:tcPr>
          <w:p>
            <w:pPr>
              <w:pStyle w:val="Term"/>
              <w:numPr>
                <w:ilvl w:val="0"/>
                <w:numId w:val="1"/>
              </w:numPr>
              <w:spacing w:before="0" w:after="240"/>
              <w:jc w:val="start"/>
              <w:rPr/>
            </w:pPr>
            <w:r>
              <w:rPr>
                <w:u w:val="single"/>
              </w:rPr>
              <w:t>Parties</w:t>
            </w:r>
            <w:r>
              <w:rPr/>
              <w:t>:</w:t>
            </w:r>
          </w:p>
        </w:tc>
        <w:tc>
          <w:tcPr>
            <w:tcW w:w="7578" w:type="dxa"/>
            <w:tcBorders/>
          </w:tcPr>
          <w:p>
            <w:pPr>
              <w:pStyle w:val="Term"/>
              <w:spacing w:before="0" w:after="240"/>
              <w:ind w:hanging="0" w:start="0" w:end="0"/>
              <w:rPr>
                <w:u w:val="single"/>
              </w:rPr>
            </w:pPr>
            <w:r>
              <w:rPr/>
              <w:t>Enron North America Corp., its authorized affiliates, or their assignees or designees (collectively, “ENA”), and AIG Highstar Capital, L.P., a Delaware limited partnership (“Highstar”).</w:t>
            </w:r>
          </w:p>
        </w:tc>
      </w:tr>
      <w:tr>
        <w:trPr/>
        <w:tc>
          <w:tcPr>
            <w:tcW w:w="1998" w:type="dxa"/>
            <w:tcBorders/>
          </w:tcPr>
          <w:p>
            <w:pPr>
              <w:pStyle w:val="Term"/>
              <w:numPr>
                <w:ilvl w:val="0"/>
                <w:numId w:val="1"/>
              </w:numPr>
              <w:spacing w:before="0" w:after="240"/>
              <w:jc w:val="start"/>
              <w:rPr/>
            </w:pPr>
            <w:r>
              <w:rPr>
                <w:u w:val="single"/>
              </w:rPr>
              <w:t>Assets</w:t>
            </w:r>
            <w:r>
              <w:rPr/>
              <w:t>:</w:t>
            </w:r>
          </w:p>
        </w:tc>
        <w:tc>
          <w:tcPr>
            <w:tcW w:w="7578" w:type="dxa"/>
            <w:tcBorders/>
          </w:tcPr>
          <w:p>
            <w:pPr>
              <w:pStyle w:val="Term"/>
              <w:spacing w:before="0" w:after="240"/>
              <w:ind w:hanging="0" w:start="0" w:end="0"/>
              <w:rPr/>
            </w:pPr>
            <w:r>
              <w:rPr/>
              <w:t xml:space="preserve">Two 35 MW coal fueled cogeneration plants owned by subsidiaries of North Carolina Power Holdings, LLC, a Delaware limited liability company (“NCPH”), located in Elizabethtown and Lumberton, North Carolina, together with related improvements and appurtenances, including operating permits, the CP&amp;L Agreement (defined below), together with the other contracts set forth on </w:t>
            </w:r>
            <w:r>
              <w:rPr>
                <w:u w:val="single"/>
              </w:rPr>
              <w:t>Exhibit A</w:t>
            </w:r>
            <w:r>
              <w:rPr/>
              <w:t xml:space="preserve"> attached hereto (the “Facility Contracts”).</w:t>
            </w:r>
          </w:p>
        </w:tc>
      </w:tr>
      <w:tr>
        <w:trPr/>
        <w:tc>
          <w:tcPr>
            <w:tcW w:w="1998" w:type="dxa"/>
            <w:tcBorders/>
          </w:tcPr>
          <w:p>
            <w:pPr>
              <w:pStyle w:val="Term"/>
              <w:numPr>
                <w:ilvl w:val="0"/>
                <w:numId w:val="1"/>
              </w:numPr>
              <w:spacing w:before="0" w:after="240"/>
              <w:jc w:val="start"/>
              <w:rPr/>
            </w:pPr>
            <w:r>
              <w:rPr/>
              <w:t xml:space="preserve">Transaction </w:t>
            </w:r>
            <w:r>
              <w:rPr>
                <w:u w:val="single"/>
              </w:rPr>
              <w:t>Description</w:t>
            </w:r>
            <w:r>
              <w:rPr/>
              <w:t>:</w:t>
            </w:r>
          </w:p>
        </w:tc>
        <w:tc>
          <w:tcPr>
            <w:tcW w:w="7578" w:type="dxa"/>
            <w:tcBorders/>
          </w:tcPr>
          <w:p>
            <w:pPr>
              <w:pStyle w:val="Term"/>
              <w:spacing w:before="0" w:after="240"/>
              <w:ind w:hanging="0" w:start="0" w:end="0"/>
              <w:rPr/>
            </w:pPr>
            <w:r>
              <w:rPr/>
              <w:t>On or before the Closing Date (as defined below) (i) Highstar will acquire from ENA 100% of the ownership interests in NCPH (the “LLC Interests”) and (ii) ENA, Highstar and/or NCPH will also enter into: (A) certain financial hedges to reduce Highstar's exposure to external market fluctuations in connection with the ownership and operation of the Assets; (B) an asset management agreement, whereby ENA will manage the Assets and market all available power generated thereby into the wholesale market; and (C) a brokerage agreement, whereby ENA will act as sole agent in connection with the Sale (as defined below), and Highstar will agree to the consummation of the Sale (collectively, the “Transactions”).</w:t>
            </w:r>
          </w:p>
        </w:tc>
      </w:tr>
      <w:tr>
        <w:trPr/>
        <w:tc>
          <w:tcPr>
            <w:tcW w:w="1998" w:type="dxa"/>
            <w:tcBorders/>
          </w:tcPr>
          <w:p>
            <w:pPr>
              <w:pStyle w:val="Term"/>
              <w:numPr>
                <w:ilvl w:val="0"/>
                <w:numId w:val="1"/>
              </w:numPr>
              <w:spacing w:before="0" w:after="240"/>
              <w:jc w:val="start"/>
              <w:rPr/>
            </w:pPr>
            <w:r>
              <w:rPr/>
              <w:t>Securities Purchase</w:t>
            </w:r>
            <w:r>
              <w:rPr>
                <w:u w:val="single"/>
              </w:rPr>
              <w:t xml:space="preserve"> Agreement</w:t>
            </w:r>
            <w:r>
              <w:rPr/>
              <w:t>:</w:t>
            </w:r>
          </w:p>
        </w:tc>
        <w:tc>
          <w:tcPr>
            <w:tcW w:w="7578" w:type="dxa"/>
            <w:tcBorders/>
          </w:tcPr>
          <w:p>
            <w:pPr>
              <w:pStyle w:val="Term"/>
              <w:spacing w:before="0" w:after="240"/>
              <w:ind w:hanging="0" w:start="0" w:end="0"/>
              <w:rPr/>
            </w:pPr>
            <w:r>
              <w:rPr/>
              <w:t xml:space="preserve">Highstar and ENA will enter into a Securities Purchase Agreement (the “Securities Purchase Agreement”) utilizing the form attached hereto as </w:t>
            </w:r>
            <w:r>
              <w:rPr>
                <w:u w:val="single"/>
              </w:rPr>
              <w:t>Exhibit B</w:t>
            </w:r>
            <w:r>
              <w:rPr/>
              <w:t>, incorporating the following terms and conditions:</w:t>
            </w:r>
          </w:p>
        </w:tc>
      </w:tr>
      <w:tr>
        <w:trPr/>
        <w:tc>
          <w:tcPr>
            <w:tcW w:w="1998" w:type="dxa"/>
            <w:tcBorders/>
          </w:tcPr>
          <w:p>
            <w:pPr>
              <w:pStyle w:val="ParaDot"/>
              <w:numPr>
                <w:ilvl w:val="0"/>
                <w:numId w:val="0"/>
              </w:numPr>
              <w:snapToGrid w:val="false"/>
              <w:spacing w:before="0" w:after="240"/>
              <w:ind w:hanging="0" w:start="0"/>
              <w:jc w:val="start"/>
              <w:rPr/>
            </w:pPr>
            <w:r>
              <w:rPr/>
            </w:r>
          </w:p>
        </w:tc>
        <w:tc>
          <w:tcPr>
            <w:tcW w:w="7578" w:type="dxa"/>
            <w:tcBorders/>
          </w:tcPr>
          <w:p>
            <w:pPr>
              <w:pStyle w:val="Term"/>
              <w:numPr>
                <w:ilvl w:val="1"/>
                <w:numId w:val="1"/>
              </w:numPr>
              <w:spacing w:before="0" w:after="240"/>
              <w:rPr/>
            </w:pPr>
            <w:r>
              <w:rPr/>
              <w:t>ENA will sell and Highstar will acquire the LLC Interests for $25,500,000 effective as of May 1, 2001 (the “Closing Date”). As additional consideration, the Parties will enter into the 2001 Put Option, the Asset Management Agreement and the Brokerage Agreement described below.</w:t>
            </w:r>
          </w:p>
        </w:tc>
      </w:tr>
      <w:tr>
        <w:trPr/>
        <w:tc>
          <w:tcPr>
            <w:tcW w:w="1998" w:type="dxa"/>
            <w:tcBorders/>
          </w:tcPr>
          <w:p>
            <w:pPr>
              <w:pStyle w:val="ParaDot"/>
              <w:numPr>
                <w:ilvl w:val="0"/>
                <w:numId w:val="0"/>
              </w:numPr>
              <w:snapToGrid w:val="false"/>
              <w:spacing w:before="0" w:after="240"/>
              <w:ind w:hanging="0" w:start="0"/>
              <w:jc w:val="start"/>
              <w:rPr/>
            </w:pPr>
            <w:r>
              <w:rPr/>
            </w:r>
          </w:p>
        </w:tc>
        <w:tc>
          <w:tcPr>
            <w:tcW w:w="7578" w:type="dxa"/>
            <w:tcBorders/>
          </w:tcPr>
          <w:p>
            <w:pPr>
              <w:pStyle w:val="Term"/>
              <w:numPr>
                <w:ilvl w:val="1"/>
                <w:numId w:val="1"/>
              </w:numPr>
              <w:spacing w:before="0" w:after="240"/>
              <w:rPr/>
            </w:pPr>
            <w:r>
              <w:rPr/>
              <w:t>All reasonable costs and expenses incurred by Highstar from and after March 1, 2001 in connection with negotiating, executing and closing the Securities Purchase Agreement, the 2001 Put Option, the Asset Management Agreement, and the Brokerage Agreement will, if consummated, be reimbursed by ENA within 30 days following the Closing Date up to a maximum amount of $200,000.</w:t>
            </w:r>
          </w:p>
        </w:tc>
      </w:tr>
      <w:tr>
        <w:trPr/>
        <w:tc>
          <w:tcPr>
            <w:tcW w:w="1998" w:type="dxa"/>
            <w:tcBorders/>
          </w:tcPr>
          <w:p>
            <w:pPr>
              <w:pStyle w:val="Term"/>
              <w:numPr>
                <w:ilvl w:val="0"/>
                <w:numId w:val="1"/>
              </w:numPr>
              <w:spacing w:before="0" w:after="240"/>
              <w:jc w:val="start"/>
              <w:rPr/>
            </w:pPr>
            <w:r>
              <w:rPr/>
              <w:t>CP&amp;L</w:t>
              <w:br/>
            </w:r>
            <w:r>
              <w:rPr>
                <w:u w:val="single"/>
              </w:rPr>
              <w:t>Agreement</w:t>
            </w:r>
            <w:r>
              <w:rPr/>
              <w:t>:</w:t>
            </w:r>
          </w:p>
        </w:tc>
        <w:tc>
          <w:tcPr>
            <w:tcW w:w="7578" w:type="dxa"/>
            <w:tcBorders/>
          </w:tcPr>
          <w:p>
            <w:pPr>
              <w:pStyle w:val="Term"/>
              <w:spacing w:before="0" w:after="240"/>
              <w:ind w:hanging="0" w:start="0" w:end="0"/>
              <w:rPr>
                <w:u w:val="single"/>
              </w:rPr>
            </w:pPr>
            <w:r>
              <w:rPr>
                <w:color w:val="000000"/>
              </w:rPr>
              <w:t xml:space="preserve">NCPH is entering into a unit-contingent Call Option Agreement with </w:t>
            </w:r>
            <w:r>
              <w:rPr/>
              <w:t xml:space="preserve">Carolina Power &amp; Light Company (“CP&amp;L”) </w:t>
            </w:r>
            <w:r>
              <w:rPr>
                <w:color w:val="000000"/>
              </w:rPr>
              <w:t xml:space="preserve">in the form attached hereto as </w:t>
            </w:r>
            <w:r>
              <w:rPr>
                <w:color w:val="000000"/>
                <w:u w:val="single"/>
              </w:rPr>
              <w:t>Exhibit C</w:t>
            </w:r>
            <w:r>
              <w:rPr>
                <w:color w:val="000000"/>
              </w:rPr>
              <w:t xml:space="preserve"> (the “CP&amp;L Agreement”), whereby CP&amp;L has been granted a daily on-peak call option from May 1, 2001 through December 31, 2001, on a day-ahead basis.  On the Closing Date, a creditworthy affiliate of Highstar will assume the credit support obligations relating to the CP&amp;L Agreement.</w:t>
            </w:r>
          </w:p>
        </w:tc>
      </w:tr>
      <w:tr>
        <w:trPr/>
        <w:tc>
          <w:tcPr>
            <w:tcW w:w="1998" w:type="dxa"/>
            <w:tcBorders/>
          </w:tcPr>
          <w:p>
            <w:pPr>
              <w:pStyle w:val="Term"/>
              <w:numPr>
                <w:ilvl w:val="0"/>
                <w:numId w:val="1"/>
              </w:numPr>
              <w:spacing w:before="0" w:after="240"/>
              <w:jc w:val="start"/>
              <w:rPr/>
            </w:pPr>
            <w:r>
              <w:rPr>
                <w:u w:val="single"/>
              </w:rPr>
              <w:t>Financial Put</w:t>
            </w:r>
            <w:r>
              <w:rPr/>
              <w:t>:</w:t>
            </w:r>
          </w:p>
        </w:tc>
        <w:tc>
          <w:tcPr>
            <w:tcW w:w="7578" w:type="dxa"/>
            <w:tcBorders/>
          </w:tcPr>
          <w:p>
            <w:pPr>
              <w:pStyle w:val="Term"/>
              <w:spacing w:before="0" w:after="240"/>
              <w:ind w:hanging="0" w:start="0" w:end="0"/>
              <w:rPr>
                <w:u w:val="single"/>
              </w:rPr>
            </w:pPr>
            <w:r>
              <w:rPr/>
              <w:t xml:space="preserve">On the Closing Date, ENA and Highstar will enter into a Financial Put Option Agreement (the “2001 Put Option”) whereby Highstar will (for the term of the CP&amp;L Agreement) receive from ENA a daily on-peak put option against the </w:t>
            </w:r>
            <w:r>
              <w:rPr>
                <w:bCs/>
              </w:rPr>
              <w:t>Megawatt Daily Into TVA Index, with</w:t>
            </w:r>
            <w:r>
              <w:rPr/>
              <w:t xml:space="preserve"> a strike price of $45/MWh.  Highstar will have the right, but not the obligation, to exercise its put on a day-ahead basis for financial settlement only.</w:t>
            </w:r>
          </w:p>
        </w:tc>
      </w:tr>
      <w:tr>
        <w:trPr/>
        <w:tc>
          <w:tcPr>
            <w:tcW w:w="1998" w:type="dxa"/>
            <w:tcBorders/>
          </w:tcPr>
          <w:p>
            <w:pPr>
              <w:pStyle w:val="Term"/>
              <w:numPr>
                <w:ilvl w:val="0"/>
                <w:numId w:val="1"/>
              </w:numPr>
              <w:spacing w:before="0" w:after="240"/>
              <w:jc w:val="start"/>
              <w:rPr/>
            </w:pPr>
            <w:r>
              <w:rPr/>
              <w:t>Asset Management</w:t>
            </w:r>
            <w:r>
              <w:rPr>
                <w:u w:val="single"/>
              </w:rPr>
              <w:t xml:space="preserve"> Agreement</w:t>
            </w:r>
            <w:r>
              <w:rPr/>
              <w:t>:</w:t>
            </w:r>
          </w:p>
        </w:tc>
        <w:tc>
          <w:tcPr>
            <w:tcW w:w="7578" w:type="dxa"/>
            <w:tcBorders/>
          </w:tcPr>
          <w:p>
            <w:pPr>
              <w:pStyle w:val="Term"/>
              <w:spacing w:before="0" w:after="240"/>
              <w:ind w:hanging="0" w:start="0" w:end="0"/>
              <w:rPr/>
            </w:pPr>
            <w:r>
              <w:rPr/>
              <w:t>On the Closing Date, ENA will enter into an Asset Management Agreement (the “Asset Management Agreement”) with NCPH on the following terms and conditions:</w:t>
            </w:r>
          </w:p>
        </w:tc>
      </w:tr>
      <w:tr>
        <w:trPr/>
        <w:tc>
          <w:tcPr>
            <w:tcW w:w="1998" w:type="dxa"/>
            <w:tcBorders/>
          </w:tcPr>
          <w:p>
            <w:pPr>
              <w:pStyle w:val="ParaDot"/>
              <w:numPr>
                <w:ilvl w:val="0"/>
                <w:numId w:val="0"/>
              </w:numPr>
              <w:snapToGrid w:val="false"/>
              <w:spacing w:before="0" w:after="240"/>
              <w:ind w:hanging="0" w:start="0"/>
              <w:jc w:val="start"/>
              <w:rPr/>
            </w:pPr>
            <w:r>
              <w:rPr/>
            </w:r>
          </w:p>
        </w:tc>
        <w:tc>
          <w:tcPr>
            <w:tcW w:w="7578" w:type="dxa"/>
            <w:tcBorders/>
          </w:tcPr>
          <w:p>
            <w:pPr>
              <w:pStyle w:val="Term"/>
              <w:numPr>
                <w:ilvl w:val="1"/>
                <w:numId w:val="1"/>
              </w:numPr>
              <w:spacing w:before="0" w:after="240"/>
              <w:rPr/>
            </w:pPr>
            <w:r>
              <w:rPr/>
              <w:t>The term of the Asset Management Agreement will commence on the Closing Date and continue until the earlier to occur of December 31, 2001 or the Sale of the LLC Interests or Assets by Highstar.</w:t>
            </w:r>
          </w:p>
        </w:tc>
      </w:tr>
      <w:tr>
        <w:trPr/>
        <w:tc>
          <w:tcPr>
            <w:tcW w:w="1998" w:type="dxa"/>
            <w:tcBorders/>
          </w:tcPr>
          <w:p>
            <w:pPr>
              <w:pStyle w:val="ParaDot"/>
              <w:numPr>
                <w:ilvl w:val="0"/>
                <w:numId w:val="0"/>
              </w:numPr>
              <w:snapToGrid w:val="false"/>
              <w:spacing w:before="0" w:after="240"/>
              <w:ind w:hanging="0" w:start="0"/>
              <w:jc w:val="start"/>
              <w:rPr/>
            </w:pPr>
            <w:r>
              <w:rPr/>
            </w:r>
          </w:p>
        </w:tc>
        <w:tc>
          <w:tcPr>
            <w:tcW w:w="7578" w:type="dxa"/>
            <w:tcBorders/>
          </w:tcPr>
          <w:p>
            <w:pPr>
              <w:pStyle w:val="Term"/>
              <w:numPr>
                <w:ilvl w:val="1"/>
                <w:numId w:val="1"/>
              </w:numPr>
              <w:spacing w:before="0" w:after="240"/>
              <w:rPr/>
            </w:pPr>
            <w:r>
              <w:rPr/>
              <w:t>ENA will oversee, administer and manage the Assets, provide all back-office support, including energy and transmission scheduling, administration of Facility Contracts, bill preparation, collection and reporting to NCPH and Highstar and will have the right to subcontract out all or a portion of such services.  NCPH will retain the right to approve major management decisions with respect to the operation of the Assets.</w:t>
            </w:r>
          </w:p>
        </w:tc>
      </w:tr>
      <w:tr>
        <w:trPr/>
        <w:tc>
          <w:tcPr>
            <w:tcW w:w="1998" w:type="dxa"/>
            <w:tcBorders/>
          </w:tcPr>
          <w:p>
            <w:pPr>
              <w:pStyle w:val="ParaDot"/>
              <w:numPr>
                <w:ilvl w:val="0"/>
                <w:numId w:val="0"/>
              </w:numPr>
              <w:snapToGrid w:val="false"/>
              <w:spacing w:before="0" w:after="240"/>
              <w:ind w:hanging="0" w:start="0"/>
              <w:jc w:val="start"/>
              <w:rPr/>
            </w:pPr>
            <w:r>
              <w:rPr/>
            </w:r>
          </w:p>
        </w:tc>
        <w:tc>
          <w:tcPr>
            <w:tcW w:w="7578" w:type="dxa"/>
            <w:tcBorders/>
          </w:tcPr>
          <w:p>
            <w:pPr>
              <w:pStyle w:val="Term"/>
              <w:numPr>
                <w:ilvl w:val="1"/>
                <w:numId w:val="1"/>
              </w:numPr>
              <w:spacing w:before="0" w:after="240"/>
              <w:rPr/>
            </w:pPr>
            <w:r>
              <w:rPr/>
              <w:t xml:space="preserve">NCPH will pay ENA a monthly administrative fee of $10,000, plus $0.25/MWh for each MWh sold by NCPH. </w:t>
            </w:r>
          </w:p>
        </w:tc>
      </w:tr>
      <w:tr>
        <w:trPr/>
        <w:tc>
          <w:tcPr>
            <w:tcW w:w="1998" w:type="dxa"/>
            <w:tcBorders/>
          </w:tcPr>
          <w:p>
            <w:pPr>
              <w:pStyle w:val="ParaDot"/>
              <w:numPr>
                <w:ilvl w:val="0"/>
                <w:numId w:val="0"/>
              </w:numPr>
              <w:snapToGrid w:val="false"/>
              <w:spacing w:before="0" w:after="240"/>
              <w:ind w:hanging="0" w:start="0"/>
              <w:jc w:val="start"/>
              <w:rPr/>
            </w:pPr>
            <w:r>
              <w:rPr/>
            </w:r>
          </w:p>
        </w:tc>
        <w:tc>
          <w:tcPr>
            <w:tcW w:w="7578" w:type="dxa"/>
            <w:tcBorders/>
          </w:tcPr>
          <w:p>
            <w:pPr>
              <w:pStyle w:val="Term"/>
              <w:numPr>
                <w:ilvl w:val="1"/>
                <w:numId w:val="1"/>
              </w:numPr>
              <w:spacing w:before="0" w:after="240"/>
              <w:rPr/>
            </w:pPr>
            <w:r>
              <w:rPr/>
              <w:t>ENA will be entitled to recover any Marketing Expenses incurred by ENA in selling the output from the Assets.  “Marketing Expenses” will include all brokerage fees, marketing transaction costs, RTO costs, transmission costs and any other actual costs necessary to provide energy, capacity and ancillary services from the Assets to the market and/or purchaser.</w:t>
            </w:r>
          </w:p>
        </w:tc>
      </w:tr>
      <w:tr>
        <w:trPr/>
        <w:tc>
          <w:tcPr>
            <w:tcW w:w="1998" w:type="dxa"/>
            <w:tcBorders/>
          </w:tcPr>
          <w:p>
            <w:pPr>
              <w:pStyle w:val="ParaDot"/>
              <w:numPr>
                <w:ilvl w:val="0"/>
                <w:numId w:val="0"/>
              </w:numPr>
              <w:snapToGrid w:val="false"/>
              <w:spacing w:before="0" w:after="240"/>
              <w:ind w:hanging="0" w:start="0"/>
              <w:jc w:val="start"/>
              <w:rPr/>
            </w:pPr>
            <w:r>
              <w:rPr/>
            </w:r>
          </w:p>
        </w:tc>
        <w:tc>
          <w:tcPr>
            <w:tcW w:w="7578" w:type="dxa"/>
            <w:tcBorders/>
          </w:tcPr>
          <w:p>
            <w:pPr>
              <w:pStyle w:val="Term"/>
              <w:numPr>
                <w:ilvl w:val="1"/>
                <w:numId w:val="1"/>
              </w:numPr>
              <w:spacing w:before="0" w:after="240"/>
              <w:rPr/>
            </w:pPr>
            <w:r>
              <w:rPr/>
              <w:t xml:space="preserve">The Asset Management Agreement will acknowledge the absence of any partnership or other form of relationship or association creating fiduciary duties from ENA to NCPH and incorporate the other standard terms and conditions of Enron Power Marketing Inc.’s Power Marketing Agreement. </w:t>
            </w:r>
          </w:p>
        </w:tc>
      </w:tr>
      <w:tr>
        <w:trPr/>
        <w:tc>
          <w:tcPr>
            <w:tcW w:w="1998" w:type="dxa"/>
            <w:tcBorders/>
          </w:tcPr>
          <w:p>
            <w:pPr>
              <w:pStyle w:val="Term"/>
              <w:numPr>
                <w:ilvl w:val="0"/>
                <w:numId w:val="1"/>
              </w:numPr>
              <w:spacing w:before="0" w:after="240"/>
              <w:rPr/>
            </w:pPr>
            <w:r>
              <w:rPr/>
              <w:t xml:space="preserve">Brokerage </w:t>
            </w:r>
            <w:r>
              <w:rPr>
                <w:u w:val="single"/>
              </w:rPr>
              <w:t>Agreement</w:t>
            </w:r>
            <w:r>
              <w:rPr/>
              <w:t>:</w:t>
            </w:r>
          </w:p>
        </w:tc>
        <w:tc>
          <w:tcPr>
            <w:tcW w:w="7578" w:type="dxa"/>
            <w:tcBorders/>
          </w:tcPr>
          <w:p>
            <w:pPr>
              <w:pStyle w:val="Term"/>
              <w:spacing w:before="0" w:after="240"/>
              <w:ind w:hanging="0" w:start="0" w:end="0"/>
              <w:rPr/>
            </w:pPr>
            <w:r>
              <w:rPr/>
              <w:t>On the Closing Date, ENA and Highstar will enter into a Brokerage Agreement whereby ENA will act as agent on behalf of Highstar for any Sale to a third party.  The Brokerage Agreement will include the following terms and conditions:</w:t>
            </w:r>
          </w:p>
        </w:tc>
      </w:tr>
      <w:tr>
        <w:trPr/>
        <w:tc>
          <w:tcPr>
            <w:tcW w:w="1998" w:type="dxa"/>
            <w:tcBorders/>
          </w:tcPr>
          <w:p>
            <w:pPr>
              <w:pStyle w:val="ParaDot"/>
              <w:numPr>
                <w:ilvl w:val="0"/>
                <w:numId w:val="0"/>
              </w:numPr>
              <w:snapToGrid w:val="false"/>
              <w:spacing w:before="0" w:after="240"/>
              <w:ind w:hanging="0" w:start="0"/>
              <w:jc w:val="start"/>
              <w:rPr/>
            </w:pPr>
            <w:r>
              <w:rPr/>
            </w:r>
          </w:p>
        </w:tc>
        <w:tc>
          <w:tcPr>
            <w:tcW w:w="7578" w:type="dxa"/>
            <w:tcBorders/>
          </w:tcPr>
          <w:p>
            <w:pPr>
              <w:pStyle w:val="Term"/>
              <w:numPr>
                <w:ilvl w:val="1"/>
                <w:numId w:val="1"/>
              </w:numPr>
              <w:spacing w:before="0" w:after="240"/>
              <w:rPr/>
            </w:pPr>
            <w:r>
              <w:rPr/>
              <w:t>Highstar will be obligated to consummate a Sale on substantially the same standard terms and conditions set forth in the Securities Purchase Agreement</w:t>
            </w:r>
            <w:r>
              <w:rPr>
                <w:b/>
              </w:rPr>
              <w:t xml:space="preserve"> </w:t>
            </w:r>
            <w:r>
              <w:rPr/>
              <w:t>as long as the Purchase Price set forth thereon exceeds $25,500,000.</w:t>
            </w:r>
          </w:p>
        </w:tc>
      </w:tr>
      <w:tr>
        <w:trPr/>
        <w:tc>
          <w:tcPr>
            <w:tcW w:w="1998" w:type="dxa"/>
            <w:tcBorders/>
          </w:tcPr>
          <w:p>
            <w:pPr>
              <w:pStyle w:val="ParaDot"/>
              <w:numPr>
                <w:ilvl w:val="0"/>
                <w:numId w:val="0"/>
              </w:numPr>
              <w:snapToGrid w:val="false"/>
              <w:spacing w:before="0" w:after="240"/>
              <w:ind w:hanging="0" w:start="0"/>
              <w:jc w:val="start"/>
              <w:rPr/>
            </w:pPr>
            <w:r>
              <w:rPr/>
            </w:r>
          </w:p>
        </w:tc>
        <w:tc>
          <w:tcPr>
            <w:tcW w:w="7578" w:type="dxa"/>
            <w:tcBorders/>
          </w:tcPr>
          <w:p>
            <w:pPr>
              <w:pStyle w:val="Term"/>
              <w:numPr>
                <w:ilvl w:val="1"/>
                <w:numId w:val="1"/>
              </w:numPr>
              <w:spacing w:before="0" w:after="240"/>
              <w:rPr/>
            </w:pPr>
            <w:r>
              <w:rPr/>
              <w:t>Proceeds from the Sale will be distributed as follows:  (i) ENA will be reimbursed all expenses reasonably incurred in connection with the Sale, including legal, technology and processing fees;  (ii) Highstar will be reimbursed for all similar expenses reasonably incurred in connection with the Sale; (iii) Highstar will receive all amounts collected up to the initial purchase price paid by Highstar pursuant to Section 4(a) above; and (iv) any remaining funds will be distributed as follows:</w:t>
            </w:r>
          </w:p>
        </w:tc>
      </w:tr>
    </w:tbl>
    <w:p>
      <w:pPr>
        <w:pStyle w:val="Normal"/>
        <w:rPr/>
      </w:pPr>
      <w:r>
        <w:rPr/>
      </w:r>
    </w:p>
    <w:tbl>
      <w:tblPr>
        <w:tblW w:w="6030" w:type="dxa"/>
        <w:jc w:val="start"/>
        <w:tblInd w:w="2880" w:type="dxa"/>
        <w:tblLayout w:type="fixed"/>
        <w:tblCellMar>
          <w:top w:w="0" w:type="dxa"/>
          <w:start w:w="108" w:type="dxa"/>
          <w:bottom w:w="0" w:type="dxa"/>
          <w:end w:w="108" w:type="dxa"/>
        </w:tblCellMar>
      </w:tblPr>
      <w:tblGrid>
        <w:gridCol w:w="2010"/>
        <w:gridCol w:w="2010"/>
        <w:gridCol w:w="2010"/>
      </w:tblGrid>
      <w:tr>
        <w:trPr/>
        <w:tc>
          <w:tcPr>
            <w:tcW w:w="2010" w:type="dxa"/>
            <w:tcBorders>
              <w:top w:val="single" w:sz="4" w:space="0" w:color="000000"/>
              <w:start w:val="single" w:sz="4" w:space="0" w:color="000000"/>
              <w:bottom w:val="single" w:sz="4" w:space="0" w:color="000000"/>
              <w:end w:val="single" w:sz="4" w:space="0" w:color="000000"/>
            </w:tcBorders>
            <w:shd w:fill="B2B2B2" w:val="clear"/>
          </w:tcPr>
          <w:p>
            <w:pPr>
              <w:pStyle w:val="Normal"/>
              <w:keepNext w:val="true"/>
              <w:keepLines/>
              <w:jc w:val="center"/>
              <w:rPr>
                <w:b/>
              </w:rPr>
            </w:pPr>
            <w:r>
              <w:rPr>
                <w:b/>
              </w:rPr>
              <w:t>Months from Closing Date to Sale</w:t>
            </w:r>
          </w:p>
        </w:tc>
        <w:tc>
          <w:tcPr>
            <w:tcW w:w="2010" w:type="dxa"/>
            <w:tcBorders>
              <w:top w:val="single" w:sz="4" w:space="0" w:color="000000"/>
              <w:start w:val="single" w:sz="4" w:space="0" w:color="000000"/>
              <w:bottom w:val="single" w:sz="4" w:space="0" w:color="000000"/>
              <w:end w:val="single" w:sz="4" w:space="0" w:color="000000"/>
            </w:tcBorders>
            <w:shd w:fill="B2B2B2" w:val="clear"/>
          </w:tcPr>
          <w:p>
            <w:pPr>
              <w:pStyle w:val="Normal"/>
              <w:keepNext w:val="true"/>
              <w:keepLines/>
              <w:jc w:val="center"/>
              <w:rPr>
                <w:b/>
              </w:rPr>
            </w:pPr>
            <w:r>
              <w:rPr>
                <w:b/>
              </w:rPr>
              <w:t>Proceeds</w:t>
              <w:br/>
              <w:t>Retained by Highstar</w:t>
            </w:r>
          </w:p>
        </w:tc>
        <w:tc>
          <w:tcPr>
            <w:tcW w:w="2010" w:type="dxa"/>
            <w:tcBorders>
              <w:top w:val="single" w:sz="4" w:space="0" w:color="000000"/>
              <w:start w:val="single" w:sz="4" w:space="0" w:color="000000"/>
              <w:bottom w:val="single" w:sz="4" w:space="0" w:color="000000"/>
              <w:end w:val="single" w:sz="4" w:space="0" w:color="000000"/>
            </w:tcBorders>
            <w:shd w:fill="B2B2B2" w:val="clear"/>
          </w:tcPr>
          <w:p>
            <w:pPr>
              <w:pStyle w:val="Normal"/>
              <w:keepNext w:val="true"/>
              <w:keepLines/>
              <w:jc w:val="center"/>
              <w:rPr>
                <w:b/>
              </w:rPr>
            </w:pPr>
            <w:r>
              <w:rPr>
                <w:b/>
              </w:rPr>
              <w:t>Proceeds Payable to ENA</w:t>
            </w:r>
          </w:p>
        </w:tc>
      </w:tr>
      <w:tr>
        <w:trPr/>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8 months or less</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10%</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90%</w:t>
            </w:r>
          </w:p>
        </w:tc>
      </w:tr>
      <w:tr>
        <w:trPr/>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9</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20%</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80%</w:t>
            </w:r>
          </w:p>
        </w:tc>
      </w:tr>
      <w:tr>
        <w:trPr/>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10-11</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30%</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70%</w:t>
            </w:r>
          </w:p>
        </w:tc>
      </w:tr>
      <w:tr>
        <w:trPr/>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12</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35%</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65%</w:t>
            </w:r>
          </w:p>
        </w:tc>
      </w:tr>
      <w:tr>
        <w:trPr/>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13</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40%</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60%</w:t>
            </w:r>
          </w:p>
        </w:tc>
      </w:tr>
      <w:tr>
        <w:trPr/>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14</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45%</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55%</w:t>
            </w:r>
          </w:p>
        </w:tc>
      </w:tr>
      <w:tr>
        <w:trPr/>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15</w:t>
            </w:r>
          </w:p>
        </w:tc>
        <w:tc>
          <w:tcPr>
            <w:tcW w:w="2010" w:type="dxa"/>
            <w:tcBorders>
              <w:top w:val="single" w:sz="4" w:space="0" w:color="000000"/>
              <w:start w:val="single" w:sz="4" w:space="0" w:color="000000"/>
              <w:bottom w:val="single" w:sz="4" w:space="0" w:color="000000"/>
              <w:end w:val="single" w:sz="4" w:space="0" w:color="000000"/>
            </w:tcBorders>
          </w:tcPr>
          <w:p>
            <w:pPr>
              <w:pStyle w:val="Corporate1A"/>
              <w:keepNext w:val="true"/>
              <w:keepLines/>
              <w:tabs>
                <w:tab w:val="clear" w:pos="4680"/>
              </w:tabs>
              <w:spacing w:before="0" w:after="0"/>
              <w:rPr/>
            </w:pPr>
            <w:r>
              <w:rPr/>
              <w:t>50%</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50%</w:t>
            </w:r>
          </w:p>
        </w:tc>
      </w:tr>
      <w:tr>
        <w:trPr/>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16</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55%</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45%</w:t>
            </w:r>
          </w:p>
        </w:tc>
      </w:tr>
      <w:tr>
        <w:trPr/>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17</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60%</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40%</w:t>
            </w:r>
          </w:p>
        </w:tc>
      </w:tr>
      <w:tr>
        <w:trPr/>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18</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65%</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35%</w:t>
            </w:r>
          </w:p>
        </w:tc>
      </w:tr>
      <w:tr>
        <w:trPr/>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19</w:t>
            </w:r>
          </w:p>
        </w:tc>
        <w:tc>
          <w:tcPr>
            <w:tcW w:w="2010" w:type="dxa"/>
            <w:tcBorders>
              <w:top w:val="single" w:sz="4" w:space="0" w:color="000000"/>
              <w:start w:val="single" w:sz="4" w:space="0" w:color="000000"/>
              <w:bottom w:val="single" w:sz="4" w:space="0" w:color="000000"/>
              <w:end w:val="single" w:sz="4" w:space="0" w:color="000000"/>
            </w:tcBorders>
          </w:tcPr>
          <w:p>
            <w:pPr>
              <w:pStyle w:val="Corporate1A"/>
              <w:keepNext w:val="true"/>
              <w:keepLines/>
              <w:tabs>
                <w:tab w:val="clear" w:pos="4680"/>
              </w:tabs>
              <w:spacing w:before="0" w:after="0"/>
              <w:rPr/>
            </w:pPr>
            <w:r>
              <w:rPr/>
              <w:t>70%</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30%</w:t>
            </w:r>
          </w:p>
        </w:tc>
      </w:tr>
      <w:tr>
        <w:trPr/>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20</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75%</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25%</w:t>
            </w:r>
          </w:p>
        </w:tc>
      </w:tr>
      <w:tr>
        <w:trPr/>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21 and</w:t>
              <w:br/>
              <w:t>thereafter</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80%</w:t>
            </w:r>
          </w:p>
        </w:tc>
        <w:tc>
          <w:tcPr>
            <w:tcW w:w="2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pPr>
            <w:r>
              <w:rPr/>
              <w:t>20%</w:t>
            </w:r>
          </w:p>
        </w:tc>
      </w:tr>
    </w:tbl>
    <w:p>
      <w:pPr>
        <w:pStyle w:val="FootnoteText"/>
        <w:rPr/>
      </w:pPr>
      <w:r>
        <w:rPr/>
      </w:r>
    </w:p>
    <w:tbl>
      <w:tblPr>
        <w:tblW w:w="9576" w:type="dxa"/>
        <w:jc w:val="start"/>
        <w:tblInd w:w="0" w:type="dxa"/>
        <w:tblLayout w:type="fixed"/>
        <w:tblCellMar>
          <w:top w:w="0" w:type="dxa"/>
          <w:start w:w="108" w:type="dxa"/>
          <w:bottom w:w="0" w:type="dxa"/>
          <w:end w:w="108" w:type="dxa"/>
        </w:tblCellMar>
      </w:tblPr>
      <w:tblGrid>
        <w:gridCol w:w="1998"/>
        <w:gridCol w:w="7578"/>
      </w:tblGrid>
      <w:tr>
        <w:trPr/>
        <w:tc>
          <w:tcPr>
            <w:tcW w:w="1998" w:type="dxa"/>
            <w:tcBorders/>
          </w:tcPr>
          <w:p>
            <w:pPr>
              <w:pStyle w:val="ParaDot"/>
              <w:numPr>
                <w:ilvl w:val="0"/>
                <w:numId w:val="0"/>
              </w:numPr>
              <w:snapToGrid w:val="false"/>
              <w:spacing w:before="0" w:after="240"/>
              <w:ind w:hanging="0" w:start="0"/>
              <w:jc w:val="start"/>
              <w:rPr/>
            </w:pPr>
            <w:r>
              <w:rPr/>
            </w:r>
          </w:p>
        </w:tc>
        <w:tc>
          <w:tcPr>
            <w:tcW w:w="7578" w:type="dxa"/>
            <w:tcBorders/>
          </w:tcPr>
          <w:p>
            <w:pPr>
              <w:pStyle w:val="Term"/>
              <w:numPr>
                <w:ilvl w:val="1"/>
                <w:numId w:val="1"/>
              </w:numPr>
              <w:rPr>
                <w:rFonts w:ascii="Courier" w:hAnsi="Courier" w:cs="Courier"/>
                <w:color w:val="000000"/>
                <w:sz w:val="20"/>
              </w:rPr>
            </w:pPr>
            <w:r>
              <w:rPr/>
              <w:t>As used herein, the term “Sale” shall mean the agreement (verbal or written) by Highstar or NCPH to the material terms of the sale to a third party of (i) all of the equity interests in or assets of NCPH or (ii) all or substantially all of the Assets.</w:t>
            </w:r>
          </w:p>
          <w:p>
            <w:pPr>
              <w:pStyle w:val="Term"/>
              <w:numPr>
                <w:ilvl w:val="1"/>
                <w:numId w:val="1"/>
              </w:numPr>
              <w:spacing w:before="0" w:after="240"/>
              <w:rPr/>
            </w:pPr>
            <w:r>
              <w:rPr>
                <w:color w:val="000000"/>
              </w:rPr>
              <w:t>If subsequent to the occurrence of a Sale, the transaction fails to proceed to closing for any reason that is not the fault of ENA, and a subsequent Sale occurs with the same or different third party, for purposes of calculating the percentage described in 8(b)(iv) above, the date of the first Sale shall be utilized.</w:t>
            </w:r>
          </w:p>
        </w:tc>
      </w:tr>
      <w:tr>
        <w:trPr/>
        <w:tc>
          <w:tcPr>
            <w:tcW w:w="1998" w:type="dxa"/>
            <w:tcBorders/>
          </w:tcPr>
          <w:p>
            <w:pPr>
              <w:pStyle w:val="Term"/>
              <w:numPr>
                <w:ilvl w:val="0"/>
                <w:numId w:val="1"/>
              </w:numPr>
              <w:spacing w:before="0" w:after="240"/>
              <w:jc w:val="start"/>
              <w:rPr/>
            </w:pPr>
            <w:r>
              <w:rPr/>
              <w:t xml:space="preserve">2002 Hedge or Offtake </w:t>
            </w:r>
            <w:r>
              <w:rPr>
                <w:u w:val="single"/>
              </w:rPr>
              <w:t>Offers</w:t>
            </w:r>
            <w:r>
              <w:rPr/>
              <w:t>:</w:t>
            </w:r>
          </w:p>
        </w:tc>
        <w:tc>
          <w:tcPr>
            <w:tcW w:w="7578" w:type="dxa"/>
            <w:tcBorders/>
          </w:tcPr>
          <w:p>
            <w:pPr>
              <w:pStyle w:val="Term"/>
              <w:spacing w:before="0" w:after="240"/>
              <w:ind w:hanging="0" w:start="0" w:end="0"/>
              <w:rPr/>
            </w:pPr>
            <w:r>
              <w:rPr/>
              <w:t>If a Sale does not occur prior to November 1, 2001 for any reason other than  Highstar's breach of the Brokerage Agreement or other lack of cooperation, ENA and Highstar will exercise reasonable efforts to enter into either a financial hedge arrangement (the “Financial Hedge”) or a unit-contingent power off-take agreement (the “Off-Take Agreement”) as each is more specifically described below:</w:t>
            </w:r>
          </w:p>
        </w:tc>
      </w:tr>
      <w:tr>
        <w:trPr/>
        <w:tc>
          <w:tcPr>
            <w:tcW w:w="1998" w:type="dxa"/>
            <w:tcBorders/>
          </w:tcPr>
          <w:p>
            <w:pPr>
              <w:pStyle w:val="Term"/>
              <w:snapToGrid w:val="false"/>
              <w:spacing w:before="0" w:after="240"/>
              <w:ind w:hanging="0" w:start="0" w:end="0"/>
              <w:rPr/>
            </w:pPr>
            <w:r>
              <w:rPr/>
            </w:r>
          </w:p>
        </w:tc>
        <w:tc>
          <w:tcPr>
            <w:tcW w:w="7578" w:type="dxa"/>
            <w:tcBorders/>
          </w:tcPr>
          <w:p>
            <w:pPr>
              <w:pStyle w:val="Term"/>
              <w:numPr>
                <w:ilvl w:val="1"/>
                <w:numId w:val="1"/>
              </w:numPr>
              <w:spacing w:before="0" w:after="240"/>
              <w:rPr/>
            </w:pPr>
            <w:r>
              <w:rPr/>
              <w:t>Pursuant to the Financial Hedge, ENA will offer Highstar a “costless collar” whereby Highstar will simultaneously buy a put from ENA and sell a call to ENA based on monthly power prices.  The term of the Financial Hedge will be from January 1, 2002 through December 31, 2002, but could be extended by mutual agreement for additional one (1) year periods; provided that any extension of the Financial Hedge Agreement will require the extension of the Asset Management Agreement under market rate terms.</w:t>
            </w:r>
          </w:p>
        </w:tc>
      </w:tr>
      <w:tr>
        <w:trPr/>
        <w:tc>
          <w:tcPr>
            <w:tcW w:w="1998" w:type="dxa"/>
            <w:tcBorders/>
          </w:tcPr>
          <w:p>
            <w:pPr>
              <w:pStyle w:val="Term"/>
              <w:snapToGrid w:val="false"/>
              <w:spacing w:before="0" w:after="240"/>
              <w:ind w:hanging="0" w:start="0" w:end="0"/>
              <w:rPr>
                <w:u w:val="single"/>
              </w:rPr>
            </w:pPr>
            <w:r>
              <w:rPr>
                <w:u w:val="single"/>
              </w:rPr>
            </w:r>
          </w:p>
        </w:tc>
        <w:tc>
          <w:tcPr>
            <w:tcW w:w="7578" w:type="dxa"/>
            <w:tcBorders/>
          </w:tcPr>
          <w:p>
            <w:pPr>
              <w:pStyle w:val="Term"/>
              <w:numPr>
                <w:ilvl w:val="1"/>
                <w:numId w:val="1"/>
              </w:numPr>
              <w:spacing w:before="0" w:after="240"/>
              <w:rPr/>
            </w:pPr>
            <w:r>
              <w:rPr/>
              <w:t>Pursuant to the  Off-Take Agreement, ENA will offer to Highstar a ten-year, unit-contingent power purchase agreement for the capacity and energy from the Assets on terms acceptable to both parties.</w:t>
            </w:r>
          </w:p>
        </w:tc>
      </w:tr>
      <w:tr>
        <w:trPr/>
        <w:tc>
          <w:tcPr>
            <w:tcW w:w="1998" w:type="dxa"/>
            <w:tcBorders/>
          </w:tcPr>
          <w:p>
            <w:pPr>
              <w:pStyle w:val="Term"/>
              <w:snapToGrid w:val="false"/>
              <w:spacing w:before="0" w:after="240"/>
              <w:ind w:hanging="0" w:start="0" w:end="0"/>
              <w:rPr>
                <w:u w:val="single"/>
              </w:rPr>
            </w:pPr>
            <w:r>
              <w:rPr>
                <w:u w:val="single"/>
              </w:rPr>
            </w:r>
          </w:p>
        </w:tc>
        <w:tc>
          <w:tcPr>
            <w:tcW w:w="7578" w:type="dxa"/>
            <w:tcBorders/>
          </w:tcPr>
          <w:p>
            <w:pPr>
              <w:pStyle w:val="Term"/>
              <w:spacing w:before="0" w:after="240"/>
              <w:ind w:hanging="0" w:start="0" w:end="0"/>
              <w:rPr/>
            </w:pPr>
            <w:r>
              <w:rPr/>
              <w:t>Highstar, in its sole discretion, will have the option to accept or reject the Financial Hedge or the Off-Take Agreement, with ENA having no further obligation to offer further Financial Hedges or Off-Take Agreements following Highstar’s rejection of same.</w:t>
            </w:r>
          </w:p>
        </w:tc>
      </w:tr>
      <w:tr>
        <w:trPr/>
        <w:tc>
          <w:tcPr>
            <w:tcW w:w="1998" w:type="dxa"/>
            <w:tcBorders/>
          </w:tcPr>
          <w:p>
            <w:pPr>
              <w:pStyle w:val="Term"/>
              <w:spacing w:before="0" w:after="240"/>
              <w:ind w:hanging="0" w:start="0" w:end="0"/>
              <w:jc w:val="start"/>
              <w:rPr/>
            </w:pPr>
            <w:r>
              <w:rPr/>
              <w:t>10.</w:t>
              <w:tab/>
              <w:t xml:space="preserve">Credit Supports/ Determination and </w:t>
            </w:r>
            <w:r>
              <w:rPr>
                <w:u w:val="single"/>
              </w:rPr>
              <w:t>Substitution</w:t>
            </w:r>
            <w:r>
              <w:rPr/>
              <w:t>:</w:t>
            </w:r>
          </w:p>
        </w:tc>
        <w:tc>
          <w:tcPr>
            <w:tcW w:w="7578" w:type="dxa"/>
            <w:tcBorders/>
          </w:tcPr>
          <w:p>
            <w:pPr>
              <w:pStyle w:val="Term"/>
              <w:spacing w:before="0" w:after="240"/>
              <w:ind w:hanging="0" w:start="0" w:end="0"/>
              <w:rPr/>
            </w:pPr>
            <w:r>
              <w:rPr/>
              <w:t>To the extent that an affiliate of ENA has provided credit support with respect to a Facility Contract transaction, Highstar will provide a substitute credit support satisfactory to the counterparty to the applicable Facility Contract. Further, the parties shall, as a condition to closing the Transactions, also agree upon applicable credit support and/or enhancement to back up the obligations that comprise the Transactions.</w:t>
            </w:r>
          </w:p>
        </w:tc>
      </w:tr>
    </w:tbl>
    <w:p>
      <w:pPr>
        <w:pStyle w:val="Term"/>
        <w:ind w:hanging="0" w:start="0" w:end="0"/>
        <w:rPr/>
      </w:pPr>
      <w:r>
        <w:rPr/>
      </w:r>
      <w:r>
        <w:br w:type="page"/>
      </w:r>
    </w:p>
    <w:p>
      <w:pPr>
        <w:pStyle w:val="Heading"/>
        <w:rPr/>
      </w:pPr>
      <w:r>
        <w:rPr/>
        <w:t>Exhibit A</w:t>
      </w:r>
    </w:p>
    <w:p>
      <w:pPr>
        <w:pStyle w:val="Normal"/>
        <w:jc w:val="center"/>
        <w:rPr>
          <w:u w:val="single"/>
        </w:rPr>
      </w:pPr>
      <w:r>
        <w:rPr>
          <w:u w:val="single"/>
        </w:rPr>
        <w:t>To</w:t>
      </w:r>
    </w:p>
    <w:p>
      <w:pPr>
        <w:pStyle w:val="Heading1"/>
        <w:jc w:val="center"/>
        <w:rPr/>
      </w:pPr>
      <w:r>
        <w:rPr/>
        <w:t>Term Sheet</w:t>
      </w:r>
    </w:p>
    <w:p>
      <w:pPr>
        <w:pStyle w:val="Normal"/>
        <w:jc w:val="center"/>
        <w:rPr/>
      </w:pPr>
      <w:r>
        <w:rPr/>
      </w:r>
    </w:p>
    <w:p>
      <w:pPr>
        <w:pStyle w:val="Normal"/>
        <w:jc w:val="center"/>
        <w:rPr/>
      </w:pPr>
      <w:r>
        <w:rPr/>
        <w:t>Facility Contracts</w:t>
      </w:r>
    </w:p>
    <w:p>
      <w:pPr>
        <w:pStyle w:val="Normal"/>
        <w:jc w:val="center"/>
        <w:rPr/>
      </w:pPr>
      <w:r>
        <w:rPr/>
      </w:r>
    </w:p>
    <w:p>
      <w:pPr>
        <w:pStyle w:val="Normal"/>
        <w:rPr/>
      </w:pPr>
      <w:r>
        <w:rPr>
          <w:u w:val="single"/>
        </w:rPr>
        <w:t>Elizabethtown Facility</w:t>
      </w:r>
      <w:r>
        <w:rPr/>
        <w:t>:</w:t>
      </w:r>
    </w:p>
    <w:p>
      <w:pPr>
        <w:pStyle w:val="Normal"/>
        <w:rPr/>
      </w:pPr>
      <w:r>
        <w:rPr/>
      </w:r>
    </w:p>
    <w:p>
      <w:pPr>
        <w:pStyle w:val="Normal"/>
        <w:numPr>
          <w:ilvl w:val="0"/>
          <w:numId w:val="3"/>
        </w:numPr>
        <w:rPr/>
      </w:pPr>
      <w:r>
        <w:rPr/>
        <w:t>Steam Purchase Agreement dated January 31, 2001 by and between Elizabethtown Power, LLC and Alamac Knit Fabrics, Inc.</w:t>
      </w:r>
    </w:p>
    <w:p>
      <w:pPr>
        <w:pStyle w:val="Normal"/>
        <w:numPr>
          <w:ilvl w:val="0"/>
          <w:numId w:val="3"/>
        </w:numPr>
        <w:rPr/>
      </w:pPr>
      <w:r>
        <w:rPr/>
        <w:t>Ground Lease and Easement Agreement dated January 31, 2001 by and between Alamac Knit Fabrics, Inc. and Elizabethtown Power, LLC</w:t>
      </w:r>
    </w:p>
    <w:p>
      <w:pPr>
        <w:pStyle w:val="Normal"/>
        <w:numPr>
          <w:ilvl w:val="0"/>
          <w:numId w:val="3"/>
        </w:numPr>
        <w:rPr/>
      </w:pPr>
      <w:r>
        <w:rPr/>
        <w:t>Operation and Maintenance Agreement dated January 31, 2001 between G.L.C. Consulting Service Incorporation and Elizabethtown Power, LLC</w:t>
      </w:r>
    </w:p>
    <w:p>
      <w:pPr>
        <w:pStyle w:val="Normal"/>
        <w:numPr>
          <w:ilvl w:val="0"/>
          <w:numId w:val="3"/>
        </w:numPr>
        <w:rPr/>
      </w:pPr>
      <w:r>
        <w:rPr/>
        <w:t>Agreement for Ash Removal Services between Cogentrix Eastern Carolina Corporation and ReUse Technology, Inc. dated as of December 16, 1991, for the facility in Elizabethtown, North Carolina, as amended by First Amendment to Agreement for Ash Removal Services dated May 19, 1993, as assigned by Cogentrix Eastern Carolina, LLC to Elizabethtown Power, LLC effective as of January 31, 2001.</w:t>
      </w:r>
    </w:p>
    <w:p>
      <w:pPr>
        <w:pStyle w:val="Normal"/>
        <w:numPr>
          <w:ilvl w:val="0"/>
          <w:numId w:val="3"/>
        </w:numPr>
        <w:rPr/>
      </w:pPr>
      <w:r>
        <w:rPr/>
        <w:t>Coal Handling Agreement between Cogentrix Eastern Carolina Corporation and ReUse Technology, Inc. dated as of May 19, 1993, for the facility in Elizabethtown, North Carolina, as assigned by Cogentrix Eastern Carolina, LLC to Elizabethtown Power, LLC effective as of January 31, 2001.</w:t>
      </w:r>
    </w:p>
    <w:p>
      <w:pPr>
        <w:pStyle w:val="Normal"/>
        <w:numPr>
          <w:ilvl w:val="0"/>
          <w:numId w:val="3"/>
        </w:numPr>
        <w:rPr/>
      </w:pPr>
      <w:r>
        <w:rPr/>
        <w:t>Coal Purchase Agreement dated March 19, 2001 between North Carolina Power Holdings, LLC and Enron North America Corp.</w:t>
      </w:r>
    </w:p>
    <w:p>
      <w:pPr>
        <w:pStyle w:val="Normal"/>
        <w:numPr>
          <w:ilvl w:val="0"/>
          <w:numId w:val="3"/>
        </w:numPr>
        <w:rPr/>
      </w:pPr>
      <w:r>
        <w:rPr/>
        <w:t>Facility Interconnection and Operating Agreement dated _________, 2001 between Carolina Power &amp; Light Company and Elizabethtown Power, LLC.</w:t>
      </w:r>
    </w:p>
    <w:p>
      <w:pPr>
        <w:pStyle w:val="Normal"/>
        <w:jc w:val="center"/>
        <w:rPr/>
      </w:pPr>
      <w:r>
        <w:rPr/>
      </w:r>
    </w:p>
    <w:p>
      <w:pPr>
        <w:pStyle w:val="Normal"/>
        <w:rPr/>
      </w:pPr>
      <w:r>
        <w:rPr>
          <w:u w:val="single"/>
        </w:rPr>
        <w:t>Lumberton Facility</w:t>
      </w:r>
      <w:r>
        <w:rPr/>
        <w:t>:</w:t>
      </w:r>
    </w:p>
    <w:p>
      <w:pPr>
        <w:pStyle w:val="Normal"/>
        <w:jc w:val="center"/>
        <w:rPr/>
      </w:pPr>
      <w:r>
        <w:rPr/>
      </w:r>
    </w:p>
    <w:p>
      <w:pPr>
        <w:pStyle w:val="Normal"/>
        <w:numPr>
          <w:ilvl w:val="0"/>
          <w:numId w:val="6"/>
        </w:numPr>
        <w:rPr/>
      </w:pPr>
      <w:r>
        <w:rPr/>
        <w:t>Steam Purchase Agreement dated January 31, 2001 by and between Lumberton Power, LLC and Alamac Knit Fabrics, Inc.</w:t>
      </w:r>
    </w:p>
    <w:p>
      <w:pPr>
        <w:pStyle w:val="Normal"/>
        <w:numPr>
          <w:ilvl w:val="0"/>
          <w:numId w:val="6"/>
        </w:numPr>
        <w:rPr/>
      </w:pPr>
      <w:r>
        <w:rPr/>
        <w:t>Ground Lease and Easement Agreement dated January 31, 2001 by and between Alamac Knit Fabrics, Inc. and Lumberton Power, LLC.</w:t>
      </w:r>
    </w:p>
    <w:p>
      <w:pPr>
        <w:pStyle w:val="Normal"/>
        <w:numPr>
          <w:ilvl w:val="0"/>
          <w:numId w:val="6"/>
        </w:numPr>
        <w:rPr/>
      </w:pPr>
      <w:r>
        <w:rPr/>
        <w:t>Operation and Maintenance Agreement dated January 31, 2001 between G.L.C. Consulting Service Incorporated and Lumberton Power, LLC.</w:t>
      </w:r>
    </w:p>
    <w:p>
      <w:pPr>
        <w:pStyle w:val="Normal"/>
        <w:numPr>
          <w:ilvl w:val="0"/>
          <w:numId w:val="6"/>
        </w:numPr>
        <w:rPr/>
      </w:pPr>
      <w:r>
        <w:rPr/>
        <w:t>Agreement for Ash Removal Services between Cogentrix Eastern Carolina Corporation and ReUse Technology, Inc. dated as of December 16, 1991, as amended by First Amendment dated May 19, 1993, as assigned by Cogentrix Eastern Carolina, LLC to Lumberton Power, LLC effective as of January 31, 2001.</w:t>
      </w:r>
    </w:p>
    <w:p>
      <w:pPr>
        <w:pStyle w:val="Normal"/>
        <w:numPr>
          <w:ilvl w:val="0"/>
          <w:numId w:val="6"/>
        </w:numPr>
        <w:rPr/>
      </w:pPr>
      <w:r>
        <w:rPr/>
        <w:t>Coal Handling Agreement between Lumberton Power, LLC (pursuant to an assignment by Cogentrix Eastern Carolina, LLC effective as of January 31, 2001) and ReUse Technology, Inc. dated as of May 19, 1993.</w:t>
      </w:r>
    </w:p>
    <w:p>
      <w:pPr>
        <w:pStyle w:val="Normal"/>
        <w:numPr>
          <w:ilvl w:val="0"/>
          <w:numId w:val="6"/>
        </w:numPr>
        <w:rPr/>
      </w:pPr>
      <w:r>
        <w:rPr/>
        <w:t>Agreement (SBD 10257; RE-83767) dated as of June 18, 1986 by and between Cumberland Elkhorn Coal and Coke, Inc. and Seaboard System Railroad, Inc., as amended and assigned by First Amendment to Agreement dated May 19, 1993 between CSX Transportation, Inc. and Cogentrix Eastern Carolina Corporation, as assigned by Cogentrix Eastern Carolina, LLC to Lumberton Power, LLC on January 31, 2001.</w:t>
      </w:r>
    </w:p>
    <w:p>
      <w:pPr>
        <w:pStyle w:val="Normal"/>
        <w:numPr>
          <w:ilvl w:val="0"/>
          <w:numId w:val="6"/>
        </w:numPr>
        <w:rPr/>
      </w:pPr>
      <w:r>
        <w:rPr/>
        <w:t>Coal Purchase Agreement dated March 19, 2001 between North Carolina Power Holdings, LLC and Enron North America Corp.</w:t>
      </w:r>
    </w:p>
    <w:p>
      <w:pPr>
        <w:pStyle w:val="Normal"/>
        <w:numPr>
          <w:ilvl w:val="0"/>
          <w:numId w:val="6"/>
        </w:numPr>
        <w:rPr/>
      </w:pPr>
      <w:r>
        <w:rPr/>
        <w:t>Facility Interconnection and Operating Agreement dated ________, 2001 between Carolina Power &amp; Light Company and Lumberton Power, LLC.</w:t>
      </w:r>
      <w:r>
        <w:br w:type="page"/>
      </w:r>
    </w:p>
    <w:p>
      <w:pPr>
        <w:pStyle w:val="Normal"/>
        <w:jc w:val="center"/>
        <w:rPr>
          <w:u w:val="single"/>
        </w:rPr>
      </w:pPr>
      <w:r>
        <w:rPr>
          <w:u w:val="single"/>
        </w:rPr>
        <w:t>Exhibit B</w:t>
      </w:r>
    </w:p>
    <w:p>
      <w:pPr>
        <w:pStyle w:val="Normal"/>
        <w:jc w:val="center"/>
        <w:rPr>
          <w:u w:val="single"/>
        </w:rPr>
      </w:pPr>
      <w:r>
        <w:rPr>
          <w:u w:val="single"/>
        </w:rPr>
        <w:t>To</w:t>
      </w:r>
    </w:p>
    <w:p>
      <w:pPr>
        <w:pStyle w:val="Heading2"/>
        <w:rPr/>
      </w:pPr>
      <w:r>
        <w:rPr/>
        <w:t>Term Sheet</w:t>
      </w:r>
    </w:p>
    <w:p>
      <w:pPr>
        <w:pStyle w:val="Normal"/>
        <w:jc w:val="center"/>
        <w:rPr/>
      </w:pPr>
      <w:r>
        <w:rPr/>
      </w:r>
    </w:p>
    <w:p>
      <w:pPr>
        <w:pStyle w:val="Normal"/>
        <w:jc w:val="center"/>
        <w:rPr/>
      </w:pPr>
      <w:r>
        <w:rPr/>
        <w:t>Form of Securities Purchase Agreement</w:t>
      </w:r>
    </w:p>
    <w:p>
      <w:pPr>
        <w:pStyle w:val="Normal"/>
        <w:jc w:val="center"/>
        <w:rPr/>
      </w:pPr>
      <w:r>
        <w:rPr/>
        <w:t>(</w:t>
      </w:r>
      <w:r>
        <w:rPr>
          <w:i/>
        </w:rPr>
        <w:t>See attached</w:t>
      </w:r>
      <w:r>
        <w:rPr/>
        <w:t>)</w:t>
      </w:r>
      <w:r>
        <w:br w:type="page"/>
      </w:r>
    </w:p>
    <w:p>
      <w:pPr>
        <w:pStyle w:val="Normal"/>
        <w:jc w:val="center"/>
        <w:rPr>
          <w:u w:val="single"/>
        </w:rPr>
      </w:pPr>
      <w:r>
        <w:rPr>
          <w:u w:val="single"/>
        </w:rPr>
        <w:t>Exhibit C</w:t>
      </w:r>
    </w:p>
    <w:p>
      <w:pPr>
        <w:pStyle w:val="Heading2"/>
        <w:rPr/>
      </w:pPr>
      <w:r>
        <w:rPr/>
        <w:t xml:space="preserve">To </w:t>
      </w:r>
    </w:p>
    <w:p>
      <w:pPr>
        <w:pStyle w:val="Normal"/>
        <w:jc w:val="center"/>
        <w:rPr>
          <w:u w:val="single"/>
        </w:rPr>
      </w:pPr>
      <w:r>
        <w:rPr>
          <w:u w:val="single"/>
        </w:rPr>
        <w:t>Term Sheet</w:t>
      </w:r>
    </w:p>
    <w:p>
      <w:pPr>
        <w:pStyle w:val="Normal"/>
        <w:jc w:val="center"/>
        <w:rPr>
          <w:u w:val="single"/>
        </w:rPr>
      </w:pPr>
      <w:r>
        <w:rPr>
          <w:u w:val="single"/>
        </w:rPr>
      </w:r>
    </w:p>
    <w:p>
      <w:pPr>
        <w:pStyle w:val="Corporate1A"/>
        <w:tabs>
          <w:tab w:val="clear" w:pos="4680"/>
        </w:tabs>
        <w:spacing w:before="0" w:after="0"/>
        <w:rPr/>
      </w:pPr>
      <w:r>
        <w:rPr/>
        <w:t>Call Option Agreement</w:t>
      </w:r>
    </w:p>
    <w:p>
      <w:pPr>
        <w:pStyle w:val="Normal"/>
        <w:jc w:val="center"/>
        <w:rPr/>
      </w:pPr>
      <w:r>
        <w:rPr/>
        <w:t>(</w:t>
      </w:r>
      <w:r>
        <w:rPr>
          <w:i/>
        </w:rPr>
        <w:t>See attached</w:t>
      </w:r>
      <w:r>
        <w:rPr/>
        <w:t>)</w:t>
      </w:r>
    </w:p>
    <w:p>
      <w:pPr>
        <w:pStyle w:val="Term"/>
        <w:spacing w:before="0" w:after="240"/>
        <w:ind w:hanging="0" w:start="0" w:end="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Courier">
    <w:altName w:val="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Houston\1269288.3</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Houston\1269288.3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rPr>
    </w:lvl>
    <w:lvl w:ilvl="1">
      <w:start w:val="1"/>
      <w:numFmt w:val="lowerLetter"/>
      <w:lvlText w:val="(%2)"/>
      <w:lvlJc w:val="start"/>
      <w:pPr>
        <w:tabs>
          <w:tab w:val="num" w:pos="432"/>
        </w:tabs>
        <w:ind w:start="432" w:hanging="432"/>
      </w:pPr>
    </w:lvl>
    <w:lvl w:ilvl="2">
      <w:start w:val="1"/>
      <w:numFmt w:val="lowerRoman"/>
      <w:lvlText w:val="(%3)"/>
      <w:lvlJc w:val="start"/>
      <w:pPr>
        <w:tabs>
          <w:tab w:val="num" w:pos="1152"/>
        </w:tabs>
        <w:ind w:start="864" w:hanging="432"/>
      </w:pPr>
    </w:lvl>
    <w:lvl w:ilvl="3">
      <w:start w:val="1"/>
      <w:pStyle w:val="Heading4"/>
      <w:numFmt w:val="lowerLetter"/>
      <w:lvlText w:val="(%4)"/>
      <w:lvlJc w:val="start"/>
      <w:pPr>
        <w:tabs>
          <w:tab w:val="num" w:pos="2520"/>
        </w:tabs>
        <w:ind w:start="1440" w:firstLine="720"/>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isLgl/>
      <w:numFmt w:val="decimal"/>
      <w:lvlText w:val="%1."/>
      <w:lvlJc w:val="start"/>
      <w:pPr>
        <w:tabs>
          <w:tab w:val="num" w:pos="720"/>
        </w:tabs>
        <w:ind w:start="720" w:hanging="720"/>
      </w:pPr>
      <w:rPr>
        <w:caps/>
        <w:i w:val="false"/>
        <w:b/>
      </w:rPr>
    </w:lvl>
    <w:lvl w:ilvl="1">
      <w:start w:val="1"/>
      <w:isLgl/>
      <w:numFmt w:val="decimal"/>
      <w:lvlText w:val="%1.%2"/>
      <w:lvlJc w:val="start"/>
      <w:pPr>
        <w:tabs>
          <w:tab w:val="num" w:pos="1440"/>
        </w:tabs>
        <w:ind w:start="1440" w:hanging="720"/>
      </w:pPr>
      <w:rPr>
        <w:i w:val="false"/>
        <w:b/>
      </w:rPr>
    </w:lvl>
    <w:lvl w:ilvl="2">
      <w:start w:val="1"/>
      <w:isLgl/>
      <w:numFmt w:val="decimal"/>
      <w:lvlText w:val="%1.%2.%3"/>
      <w:lvlJc w:val="start"/>
      <w:pPr>
        <w:tabs>
          <w:tab w:val="num" w:pos="2160"/>
        </w:tabs>
        <w:ind w:start="2160" w:hanging="720"/>
      </w:pPr>
      <w:rPr>
        <w:i w:val="false"/>
        <w:b/>
      </w:r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upperRoman"/>
      <w:suff w:val="nothing"/>
      <w:lvlText w:val="ARTICLE %1"/>
      <w:lvlJc w:val="center"/>
      <w:pPr>
        <w:tabs>
          <w:tab w:val="num" w:pos="0"/>
        </w:tabs>
        <w:ind w:start="0" w:firstLine="5040"/>
      </w:pPr>
      <w:rPr>
        <w:sz w:val="24"/>
        <w:i w:val="false"/>
        <w:b/>
        <w:rFonts w:ascii="Times New Roman" w:hAnsi="Times New Roman" w:cs="Times New Roman"/>
      </w:rPr>
    </w:lvl>
    <w:lvl w:ilvl="1">
      <w:start w:val="1"/>
      <w:isLgl/>
      <w:numFmt w:val="decimal"/>
      <w:lvlText w:val="Section %1.%2"/>
      <w:lvlJc w:val="start"/>
      <w:pPr>
        <w:tabs>
          <w:tab w:val="num" w:pos="1800"/>
        </w:tabs>
        <w:ind w:start="0" w:hanging="0"/>
      </w:pPr>
    </w:lvl>
    <w:lvl w:ilvl="2">
      <w:start w:val="1"/>
      <w:numFmt w:val="lowerLetter"/>
      <w:lvlText w:val="(%3)"/>
      <w:lvlJc w:val="start"/>
      <w:pPr>
        <w:tabs>
          <w:tab w:val="num" w:pos="1080"/>
        </w:tabs>
        <w:ind w:start="720" w:hanging="0"/>
      </w:pPr>
    </w:lvl>
    <w:lvl w:ilvl="3">
      <w:start w:val="1"/>
      <w:numFmt w:val="lowerRoman"/>
      <w:lvlText w:val="(%4)"/>
      <w:lvlJc w:val="start"/>
      <w:pPr>
        <w:tabs>
          <w:tab w:val="num" w:pos="2160"/>
        </w:tabs>
        <w:ind w:start="1440" w:hanging="0"/>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5">
    <w:lvl w:ilvl="0">
      <w:start w:val="4"/>
      <w:numFmt w:val="upperLetter"/>
      <w:lvlText w:val="%1."/>
      <w:lvlJc w:val="start"/>
      <w:pPr>
        <w:tabs>
          <w:tab w:val="num" w:pos="1800"/>
        </w:tabs>
        <w:ind w:start="1800" w:hanging="360"/>
      </w:pPr>
      <w:rPr/>
    </w:lvl>
    <w:lvl w:ilvl="1">
      <w:start w:val="1"/>
      <w:numFmt w:val="bullet"/>
      <w:lvlText w:val=""/>
      <w:lvlJc w:val="start"/>
      <w:pPr>
        <w:tabs>
          <w:tab w:val="num" w:pos="2160"/>
        </w:tabs>
        <w:ind w:start="2160" w:hanging="360"/>
      </w:pPr>
      <w:rPr>
        <w:rFonts w:ascii="Symbol" w:hAnsi="Symbol" w:cs="Symbol" w:hint="default"/>
      </w:rPr>
    </w:lvl>
    <w:lvl w:ilvl="2">
      <w:start w:val="1"/>
      <w:numFmt w:val="bullet"/>
      <w:lvlText w:val="-"/>
      <w:lvlJc w:val="start"/>
      <w:pPr>
        <w:tabs>
          <w:tab w:val="num" w:pos="3240"/>
        </w:tabs>
        <w:ind w:start="3240" w:hanging="360"/>
      </w:pPr>
      <w:rPr>
        <w:rFonts w:ascii="Times New Roman" w:hAnsi="Times New Roman" w:cs="Times New Roman" w:hint="default"/>
      </w:rPr>
    </w:lvl>
    <w:lvl w:ilvl="3">
      <w:start w:val="1"/>
      <w:numFmt w:val="bullet"/>
      <w:lvlText w:val=""/>
      <w:lvlJc w:val="start"/>
      <w:pPr>
        <w:tabs>
          <w:tab w:val="num" w:pos="4320"/>
        </w:tabs>
        <w:ind w:start="4320" w:hanging="360"/>
      </w:pPr>
      <w:rPr>
        <w:rFonts w:ascii="Symbol" w:hAnsi="Symbol" w:cs="Symbol" w:hint="default"/>
      </w:rPr>
    </w:lvl>
    <w:lvl w:ilvl="4">
      <w:start w:val="1"/>
      <w:numFmt w:val="bullet"/>
      <w:lvlText w:val="o"/>
      <w:lvlJc w:val="start"/>
      <w:pPr>
        <w:tabs>
          <w:tab w:val="num" w:pos="5040"/>
        </w:tabs>
        <w:ind w:start="5040" w:hanging="360"/>
      </w:pPr>
      <w:rPr>
        <w:rFonts w:ascii="Courier New" w:hAnsi="Courier New" w:cs="Courier New" w:hint="default"/>
      </w:rPr>
    </w:lvl>
    <w:lvl w:ilvl="5">
      <w:start w:val="1"/>
      <w:numFmt w:val="bullet"/>
      <w:lvlText w:val=""/>
      <w:lvlJc w:val="start"/>
      <w:pPr>
        <w:tabs>
          <w:tab w:val="num" w:pos="5760"/>
        </w:tabs>
        <w:ind w:start="5760" w:hanging="360"/>
      </w:pPr>
      <w:rPr>
        <w:rFonts w:ascii="Wingdings" w:hAnsi="Wingdings" w:cs="Wingdings" w:hint="default"/>
      </w:rPr>
    </w:lvl>
    <w:lvl w:ilvl="6">
      <w:start w:val="1"/>
      <w:numFmt w:val="bullet"/>
      <w:lvlText w:val=""/>
      <w:lvlJc w:val="start"/>
      <w:pPr>
        <w:tabs>
          <w:tab w:val="num" w:pos="6480"/>
        </w:tabs>
        <w:ind w:start="6480" w:hanging="360"/>
      </w:pPr>
      <w:rPr>
        <w:rFonts w:ascii="Symbol" w:hAnsi="Symbol" w:cs="Symbol" w:hint="default"/>
      </w:rPr>
    </w:lvl>
    <w:lvl w:ilvl="7">
      <w:start w:val="1"/>
      <w:numFmt w:val="bullet"/>
      <w:lvlText w:val="o"/>
      <w:lvlJc w:val="start"/>
      <w:pPr>
        <w:tabs>
          <w:tab w:val="num" w:pos="7200"/>
        </w:tabs>
        <w:ind w:start="7200" w:hanging="360"/>
      </w:pPr>
      <w:rPr>
        <w:rFonts w:ascii="Courier New" w:hAnsi="Courier New" w:cs="Courier New" w:hint="default"/>
      </w:rPr>
    </w:lvl>
    <w:lvl w:ilvl="8">
      <w:start w:val="1"/>
      <w:numFmt w:val="bullet"/>
      <w:lvlText w:val=""/>
      <w:lvlJc w:val="start"/>
      <w:pPr>
        <w:tabs>
          <w:tab w:val="num" w:pos="7920"/>
        </w:tabs>
        <w:ind w:start="7920" w:hanging="360"/>
      </w:pPr>
      <w:rPr>
        <w:rFonts w:ascii="Wingdings" w:hAnsi="Wingdings" w:cs="Wingdings"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upperLetter"/>
      <w:lvlText w:val="%1."/>
      <w:lvlJc w:val="start"/>
      <w:pPr>
        <w:tabs>
          <w:tab w:val="num" w:pos="1800"/>
        </w:tabs>
        <w:ind w:start="1800" w:hanging="360"/>
      </w:pPr>
      <w:rPr/>
    </w:lvl>
    <w:lvl w:ilvl="1">
      <w:start w:val="1"/>
      <w:numFmt w:val="bullet"/>
      <w:lvlText w:val=""/>
      <w:lvlJc w:val="start"/>
      <w:pPr>
        <w:tabs>
          <w:tab w:val="num" w:pos="1800"/>
        </w:tabs>
        <w:ind w:start="1800" w:hanging="360"/>
      </w:pPr>
      <w:rPr>
        <w:rFonts w:ascii="Symbol" w:hAnsi="Symbol" w:cs="Symbol" w:hint="default"/>
      </w:rPr>
    </w:lvl>
    <w:lvl w:ilvl="2">
      <w:start w:val="1"/>
      <w:numFmt w:val="bullet"/>
      <w:lvlText w:val=""/>
      <w:lvlJc w:val="start"/>
      <w:pPr>
        <w:tabs>
          <w:tab w:val="num" w:pos="3600"/>
        </w:tabs>
        <w:ind w:start="3600" w:hanging="360"/>
      </w:pPr>
      <w:rPr>
        <w:rFonts w:ascii="Wingdings" w:hAnsi="Wingdings" w:cs="Wingdings" w:hint="default"/>
      </w:rPr>
    </w:lvl>
    <w:lvl w:ilvl="3">
      <w:start w:val="1"/>
      <w:numFmt w:val="bullet"/>
      <w:lvlText w:val=""/>
      <w:lvlJc w:val="start"/>
      <w:pPr>
        <w:tabs>
          <w:tab w:val="num" w:pos="4320"/>
        </w:tabs>
        <w:ind w:start="4320" w:hanging="360"/>
      </w:pPr>
      <w:rPr>
        <w:rFonts w:ascii="Symbol" w:hAnsi="Symbol" w:cs="Symbol" w:hint="default"/>
      </w:rPr>
    </w:lvl>
    <w:lvl w:ilvl="4">
      <w:start w:val="1"/>
      <w:numFmt w:val="bullet"/>
      <w:lvlText w:val="o"/>
      <w:lvlJc w:val="start"/>
      <w:pPr>
        <w:tabs>
          <w:tab w:val="num" w:pos="5040"/>
        </w:tabs>
        <w:ind w:start="5040" w:hanging="360"/>
      </w:pPr>
      <w:rPr>
        <w:rFonts w:ascii="Courier New" w:hAnsi="Courier New" w:cs="Courier New" w:hint="default"/>
      </w:rPr>
    </w:lvl>
    <w:lvl w:ilvl="5">
      <w:start w:val="1"/>
      <w:numFmt w:val="bullet"/>
      <w:lvlText w:val=""/>
      <w:lvlJc w:val="start"/>
      <w:pPr>
        <w:tabs>
          <w:tab w:val="num" w:pos="5760"/>
        </w:tabs>
        <w:ind w:start="5760" w:hanging="360"/>
      </w:pPr>
      <w:rPr>
        <w:rFonts w:ascii="Wingdings" w:hAnsi="Wingdings" w:cs="Wingdings" w:hint="default"/>
      </w:rPr>
    </w:lvl>
    <w:lvl w:ilvl="6">
      <w:start w:val="1"/>
      <w:numFmt w:val="bullet"/>
      <w:lvlText w:val=""/>
      <w:lvlJc w:val="start"/>
      <w:pPr>
        <w:tabs>
          <w:tab w:val="num" w:pos="6480"/>
        </w:tabs>
        <w:ind w:start="6480" w:hanging="360"/>
      </w:pPr>
      <w:rPr>
        <w:rFonts w:ascii="Symbol" w:hAnsi="Symbol" w:cs="Symbol" w:hint="default"/>
      </w:rPr>
    </w:lvl>
    <w:lvl w:ilvl="7">
      <w:start w:val="1"/>
      <w:numFmt w:val="bullet"/>
      <w:lvlText w:val="o"/>
      <w:lvlJc w:val="start"/>
      <w:pPr>
        <w:tabs>
          <w:tab w:val="num" w:pos="7200"/>
        </w:tabs>
        <w:ind w:start="7200" w:hanging="360"/>
      </w:pPr>
      <w:rPr>
        <w:rFonts w:ascii="Courier New" w:hAnsi="Courier New" w:cs="Courier New" w:hint="default"/>
      </w:rPr>
    </w:lvl>
    <w:lvl w:ilvl="8">
      <w:start w:val="1"/>
      <w:numFmt w:val="bullet"/>
      <w:lvlText w:val=""/>
      <w:lvlJc w:val="start"/>
      <w:pPr>
        <w:tabs>
          <w:tab w:val="num" w:pos="7920"/>
        </w:tabs>
        <w:ind w:start="79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jc w:val="start"/>
      <w:outlineLvl w:val="0"/>
    </w:pPr>
    <w:rPr>
      <w:u w:val="single"/>
    </w:rPr>
  </w:style>
  <w:style w:type="paragraph" w:styleId="Heading2">
    <w:name w:val="heading 2"/>
    <w:basedOn w:val="Normal"/>
    <w:next w:val="Normal"/>
    <w:qFormat/>
    <w:pPr>
      <w:keepNext w:val="true"/>
      <w:jc w:val="center"/>
      <w:outlineLvl w:val="1"/>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character" w:styleId="WW8Num1z0">
    <w:name w:val="WW8Num1z0"/>
    <w:qFormat/>
    <w:rPr>
      <w:rFonts w:ascii="Symbol" w:hAnsi="Symbol" w:cs="Symbol"/>
    </w:rPr>
  </w:style>
  <w:style w:type="character" w:styleId="WW8Num2z0">
    <w:name w:val="WW8Num2z0"/>
    <w:qFormat/>
    <w:rPr>
      <w:b/>
      <w:i w:val="false"/>
      <w:caps/>
    </w:rPr>
  </w:style>
  <w:style w:type="character" w:styleId="WW8Num2z1">
    <w:name w:val="WW8Num2z1"/>
    <w:qFormat/>
    <w:rPr>
      <w:b/>
      <w:i w:val="fals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8z0">
    <w:name w:val="WW8Num8z0"/>
    <w:qFormat/>
    <w:rPr>
      <w:u w:val="none"/>
    </w:rPr>
  </w:style>
  <w:style w:type="character" w:styleId="WW8Num11z0">
    <w:name w:val="WW8Num11z0"/>
    <w:qFormat/>
    <w:rPr>
      <w:rFonts w:ascii="Symbol" w:hAnsi="Symbol" w:cs="Symbol"/>
    </w:rPr>
  </w:style>
  <w:style w:type="character" w:styleId="WW8Num13z0">
    <w:name w:val="WW8Num13z0"/>
    <w:qFormat/>
    <w:rPr/>
  </w:style>
  <w:style w:type="character" w:styleId="WW8Num14z0">
    <w:name w:val="WW8Num14z0"/>
    <w:qFormat/>
    <w:rPr>
      <w:u w:val="none"/>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2">
    <w:name w:val="WW8Num17z2"/>
    <w:qFormat/>
    <w:rPr>
      <w:rFonts w:ascii="Times New Roman" w:hAnsi="Times New Roman" w:cs="Times New Roman"/>
    </w:rPr>
  </w:style>
  <w:style w:type="character" w:styleId="WW8Num17z4">
    <w:name w:val="WW8Num17z4"/>
    <w:qFormat/>
    <w:rPr>
      <w:rFonts w:ascii="Courier New" w:hAnsi="Courier New" w:cs="Courier New"/>
    </w:rPr>
  </w:style>
  <w:style w:type="character" w:styleId="WW8Num17z5">
    <w:name w:val="WW8Num17z5"/>
    <w:qFormat/>
    <w:rPr>
      <w:rFonts w:ascii="Wingdings" w:hAnsi="Wingdings" w:cs="Wingdings"/>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Times New Roman" w:hAnsi="Times New Roman" w:cs="Times New Roman"/>
      <w:b/>
      <w:i w:val="false"/>
      <w:sz w:val="24"/>
    </w:rPr>
  </w:style>
  <w:style w:type="character" w:styleId="WW8Num25z0">
    <w:name w:val="WW8Num25z0"/>
    <w:qFormat/>
    <w:rPr/>
  </w:style>
  <w:style w:type="character" w:styleId="WW8Num25z1">
    <w:name w:val="WW8Num25z1"/>
    <w:qFormat/>
    <w:rPr>
      <w:rFonts w:ascii="Symbol" w:hAnsi="Symbol" w:cs="Symbol"/>
    </w:rPr>
  </w:style>
  <w:style w:type="character" w:styleId="WW8Num25z2">
    <w:name w:val="WW8Num25z2"/>
    <w:qFormat/>
    <w:rPr>
      <w:rFonts w:ascii="Times New Roman" w:hAnsi="Times New Roman" w:cs="Times New Roman"/>
    </w:rPr>
  </w:style>
  <w:style w:type="character" w:styleId="WW8Num25z4">
    <w:name w:val="WW8Num25z4"/>
    <w:qFormat/>
    <w:rPr>
      <w:rFonts w:ascii="Courier New" w:hAnsi="Courier New" w:cs="Courier New"/>
    </w:rPr>
  </w:style>
  <w:style w:type="character" w:styleId="WW8Num25z5">
    <w:name w:val="WW8Num25z5"/>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style>
  <w:style w:type="character" w:styleId="WW8Num28z1">
    <w:name w:val="WW8Num28z1"/>
    <w:qFormat/>
    <w:rPr>
      <w:rFonts w:ascii="Symbol" w:hAnsi="Symbol" w:cs="Symbol"/>
    </w:rPr>
  </w:style>
  <w:style w:type="character" w:styleId="WW8Num28z2">
    <w:name w:val="WW8Num28z2"/>
    <w:qFormat/>
    <w:rPr>
      <w:rFonts w:ascii="Wingdings" w:hAnsi="Wingdings" w:cs="Wingdings"/>
    </w:rPr>
  </w:style>
  <w:style w:type="character" w:styleId="WW8Num28z4">
    <w:name w:val="WW8Num28z4"/>
    <w:qFormat/>
    <w:rPr>
      <w:rFonts w:ascii="Courier New" w:hAnsi="Courier New" w:cs="Courier New"/>
    </w:rPr>
  </w:style>
  <w:style w:type="character" w:styleId="WW8Num30z0">
    <w:name w:val="WW8Num30z0"/>
    <w:qFormat/>
    <w:rPr/>
  </w:style>
  <w:style w:type="character" w:styleId="WW8Num30z1">
    <w:name w:val="WW8Num30z1"/>
    <w:qFormat/>
    <w:rPr>
      <w:rFonts w:ascii="Symbol" w:hAnsi="Symbol" w:cs="Symbol"/>
    </w:rPr>
  </w:style>
  <w:style w:type="character" w:styleId="WW8Num30z2">
    <w:name w:val="WW8Num30z2"/>
    <w:qFormat/>
    <w:rPr>
      <w:rFonts w:ascii="Times New Roman" w:hAnsi="Times New Roman" w:cs="Times New Roman"/>
    </w:rPr>
  </w:style>
  <w:style w:type="character" w:styleId="WW8Num30z4">
    <w:name w:val="WW8Num30z4"/>
    <w:qFormat/>
    <w:rPr>
      <w:rFonts w:ascii="Courier New" w:hAnsi="Courier New" w:cs="Courier New"/>
    </w:rPr>
  </w:style>
  <w:style w:type="character" w:styleId="WW8Num30z5">
    <w:name w:val="WW8Num30z5"/>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3z0">
    <w:name w:val="WW8Num33z0"/>
    <w:qFormat/>
    <w:rPr/>
  </w:style>
  <w:style w:type="character" w:styleId="WW8Num33z1">
    <w:name w:val="WW8Num33z1"/>
    <w:qFormat/>
    <w:rPr>
      <w:rFonts w:ascii="Symbol" w:hAnsi="Symbol" w:cs="Symbol"/>
    </w:rPr>
  </w:style>
  <w:style w:type="character" w:styleId="WW8Num33z2">
    <w:name w:val="WW8Num33z2"/>
    <w:qFormat/>
    <w:rPr>
      <w:rFonts w:ascii="Wingdings" w:hAnsi="Wingdings" w:cs="Wingdings"/>
    </w:rPr>
  </w:style>
  <w:style w:type="character" w:styleId="WW8Num33z4">
    <w:name w:val="WW8Num33z4"/>
    <w:qFormat/>
    <w:rPr>
      <w:rFonts w:ascii="Courier New" w:hAnsi="Courier New" w:cs="Courier New"/>
    </w:rPr>
  </w:style>
  <w:style w:type="character" w:styleId="WW8Num34z0">
    <w:name w:val="WW8Num34z0"/>
    <w:qFormat/>
    <w:rPr/>
  </w:style>
  <w:style w:type="character" w:styleId="WW8Num35z0">
    <w:name w:val="WW8Num35z0"/>
    <w:qFormat/>
    <w:rPr>
      <w:rFonts w:ascii="Symbol" w:hAnsi="Symbol" w:cs="Symbol"/>
    </w:rPr>
  </w:style>
  <w:style w:type="character" w:styleId="DefaultParagraphFont">
    <w:name w:val="Default Paragraph Font"/>
    <w:qFormat/>
    <w:rPr/>
  </w:style>
  <w:style w:type="character" w:styleId="Corporate2A">
    <w:name w:val="Corporate2A"/>
    <w:basedOn w:val="DefaultParagraphFont"/>
    <w:qFormat/>
    <w:rPr>
      <w:u w:val="single"/>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Corporate1">
    <w:name w:val="Corporate 1"/>
    <w:basedOn w:val="Normal"/>
    <w:next w:val="Corporate2"/>
    <w:qFormat/>
    <w:pPr>
      <w:numPr>
        <w:ilvl w:val="0"/>
        <w:numId w:val="4"/>
      </w:numPr>
      <w:spacing w:before="0" w:after="360"/>
      <w:jc w:val="center"/>
      <w:outlineLvl w:val="0"/>
    </w:pPr>
    <w:rPr>
      <w:b/>
      <w:caps/>
    </w:rPr>
  </w:style>
  <w:style w:type="paragraph" w:styleId="Corporate2">
    <w:name w:val="Corporate 2"/>
    <w:basedOn w:val="Normal"/>
    <w:next w:val="Normal"/>
    <w:qFormat/>
    <w:pPr>
      <w:numPr>
        <w:ilvl w:val="0"/>
        <w:numId w:val="4"/>
      </w:numPr>
      <w:tabs>
        <w:tab w:val="clear" w:pos="720"/>
        <w:tab w:val="left" w:pos="1440" w:leader="none"/>
      </w:tabs>
      <w:spacing w:before="0" w:after="240"/>
      <w:outlineLvl w:val="1"/>
    </w:pPr>
    <w:rPr/>
  </w:style>
  <w:style w:type="paragraph" w:styleId="Corporate3">
    <w:name w:val="Corporate 3"/>
    <w:basedOn w:val="Normal"/>
    <w:qFormat/>
    <w:pPr>
      <w:numPr>
        <w:ilvl w:val="0"/>
        <w:numId w:val="4"/>
      </w:numPr>
      <w:spacing w:before="0" w:after="240"/>
    </w:pPr>
    <w:rPr/>
  </w:style>
  <w:style w:type="paragraph" w:styleId="Corporate4">
    <w:name w:val="Corporate 4"/>
    <w:basedOn w:val="Normal"/>
    <w:qFormat/>
    <w:pPr>
      <w:numPr>
        <w:ilvl w:val="0"/>
        <w:numId w:val="4"/>
      </w:numPr>
      <w:spacing w:before="0" w:after="240"/>
    </w:pPr>
    <w:rPr/>
  </w:style>
  <w:style w:type="paragraph" w:styleId="Corporate1A">
    <w:name w:val="Corporate1A"/>
    <w:basedOn w:val="Normal"/>
    <w:next w:val="Corporate2"/>
    <w:qFormat/>
    <w:pPr>
      <w:tabs>
        <w:tab w:val="clear" w:pos="720"/>
        <w:tab w:val="center" w:pos="4680" w:leader="none"/>
      </w:tabs>
      <w:spacing w:before="0" w:after="240"/>
      <w:jc w:val="center"/>
    </w:pPr>
    <w:rPr/>
  </w:style>
  <w:style w:type="paragraph" w:styleId="PlainText">
    <w:name w:val="Plain Text"/>
    <w:basedOn w:val="Normal"/>
    <w:qFormat/>
    <w:pPr/>
    <w:rPr>
      <w:rFonts w:ascii="Courier New" w:hAnsi="Courier New" w:cs="Courier New"/>
      <w:sz w:val="20"/>
    </w:rPr>
  </w:style>
  <w:style w:type="paragraph" w:styleId="Section1">
    <w:name w:val="Section 1"/>
    <w:basedOn w:val="PlainText"/>
    <w:qFormat/>
    <w:pPr>
      <w:keepNext w:val="true"/>
      <w:spacing w:before="0" w:after="240"/>
      <w:outlineLvl w:val="0"/>
    </w:pPr>
    <w:rPr>
      <w:rFonts w:ascii="Times New Roman Bold" w:hAnsi="Times New Roman Bold" w:cs="Times New Roman Bold"/>
      <w:b/>
      <w:caps/>
      <w:sz w:val="24"/>
    </w:rPr>
  </w:style>
  <w:style w:type="paragraph" w:styleId="Section11">
    <w:name w:val="Section 1.1"/>
    <w:basedOn w:val="Normal"/>
    <w:qFormat/>
    <w:pPr>
      <w:numPr>
        <w:ilvl w:val="0"/>
        <w:numId w:val="2"/>
      </w:numPr>
      <w:spacing w:before="0" w:after="240"/>
    </w:pPr>
    <w:rPr/>
  </w:style>
  <w:style w:type="paragraph" w:styleId="Section111">
    <w:name w:val="Section 1.1.1"/>
    <w:basedOn w:val="Normal"/>
    <w:qFormat/>
    <w:pPr>
      <w:numPr>
        <w:ilvl w:val="0"/>
        <w:numId w:val="2"/>
      </w:numPr>
      <w:spacing w:before="0" w:after="240"/>
    </w:pPr>
    <w:rPr/>
  </w:style>
  <w:style w:type="paragraph" w:styleId="ParaA">
    <w:name w:val="ParaA"/>
    <w:basedOn w:val="Normal"/>
    <w:next w:val="ParaDot"/>
    <w:qFormat/>
    <w:pPr>
      <w:keepNext w:val="true"/>
      <w:keepLines/>
      <w:numPr>
        <w:ilvl w:val="0"/>
        <w:numId w:val="5"/>
      </w:numPr>
      <w:spacing w:before="0" w:after="240"/>
    </w:pPr>
    <w:rPr/>
  </w:style>
  <w:style w:type="paragraph" w:styleId="ParaDot">
    <w:name w:val="ParaDot"/>
    <w:basedOn w:val="Normal"/>
    <w:qFormat/>
    <w:pPr>
      <w:numPr>
        <w:ilvl w:val="0"/>
        <w:numId w:val="7"/>
      </w:numPr>
      <w:spacing w:before="0" w:after="240"/>
    </w:pPr>
    <w:rPr/>
  </w:style>
  <w:style w:type="paragraph" w:styleId="Term">
    <w:name w:val="Term"/>
    <w:basedOn w:val="Normal"/>
    <w:qFormat/>
    <w:pPr>
      <w:spacing w:before="0" w:after="240"/>
      <w:ind w:hanging="144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2001-03-22T21:50:00Z</dcterms:created>
  <dc:creator>Bracewell &amp; Patterson</dc:creator>
  <dc:description/>
  <dc:language>en-CA</dc:language>
  <cp:lastModifiedBy>Heather Kroll</cp:lastModifiedBy>
  <cp:lastPrinted>2001-03-22T18:09:00Z</cp:lastPrinted>
  <dcterms:modified xsi:type="dcterms:W3CDTF">2001-03-22T21:50:00Z</dcterms:modified>
  <cp:revision>2</cp:revision>
  <dc:subject/>
  <dc:title>ATTACHMENT "A"</dc:title>
</cp:coreProperties>
</file>