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Corporate1A"/>
        <w:tabs>
          <w:tab w:val="clear" w:pos="4680"/>
        </w:tabs>
        <w:spacing w:before="0" w:after="0"/>
        <w:rPr/>
      </w:pPr>
      <w:r>
        <w:rPr/>
        <w:t>April 27, 2001</w:t>
      </w:r>
    </w:p>
    <w:p>
      <w:pPr>
        <w:pStyle w:val="Normal"/>
        <w:jc w:val="start"/>
        <w:rPr/>
      </w:pPr>
      <w:r>
        <w:rPr/>
      </w:r>
    </w:p>
    <w:p>
      <w:pPr>
        <w:pStyle w:val="Normal"/>
        <w:jc w:val="start"/>
        <w:rPr/>
      </w:pPr>
      <w:r>
        <w:rPr/>
      </w:r>
    </w:p>
    <w:p>
      <w:pPr>
        <w:pStyle w:val="Normal"/>
        <w:jc w:val="start"/>
        <w:rPr/>
      </w:pPr>
      <w:r>
        <w:rPr/>
      </w:r>
    </w:p>
    <w:p>
      <w:pPr>
        <w:pStyle w:val="Normal"/>
        <w:rPr/>
      </w:pPr>
      <w:r>
        <w:rPr/>
        <w:t>AIG Highstar Capital, L.P.</w:t>
      </w:r>
    </w:p>
    <w:p>
      <w:pPr>
        <w:pStyle w:val="Normal"/>
        <w:rPr/>
      </w:pPr>
      <w:r>
        <w:rPr/>
        <w:t>c/o AIG Global Investment Corp.</w:t>
      </w:r>
    </w:p>
    <w:p>
      <w:pPr>
        <w:pStyle w:val="Normal"/>
        <w:rPr/>
      </w:pPr>
      <w:r>
        <w:rPr/>
        <w:t>175 Water Street, 26th Floor</w:t>
      </w:r>
    </w:p>
    <w:p>
      <w:pPr>
        <w:pStyle w:val="Normal"/>
        <w:rPr/>
      </w:pPr>
      <w:r>
        <w:rPr/>
        <w:t>New York, NY  10038</w:t>
      </w:r>
    </w:p>
    <w:p>
      <w:pPr>
        <w:pStyle w:val="Normal"/>
        <w:rPr/>
      </w:pPr>
      <w:r>
        <w:rPr/>
      </w:r>
    </w:p>
    <w:p>
      <w:pPr>
        <w:pStyle w:val="Header"/>
        <w:tabs>
          <w:tab w:val="clear" w:pos="4320"/>
          <w:tab w:val="clear" w:pos="8640"/>
        </w:tabs>
        <w:rPr/>
      </w:pPr>
      <w:r>
        <w:rPr/>
        <w:t>Attention:  Robert Percopo, Vice President</w:t>
      </w:r>
    </w:p>
    <w:p>
      <w:pPr>
        <w:pStyle w:val="Header"/>
        <w:tabs>
          <w:tab w:val="clear" w:pos="4320"/>
          <w:tab w:val="clear" w:pos="8640"/>
        </w:tabs>
        <w:rPr/>
      </w:pPr>
      <w:r>
        <w:rPr/>
      </w:r>
    </w:p>
    <w:p>
      <w:pPr>
        <w:pStyle w:val="Normal"/>
        <w:ind w:hanging="720" w:start="720" w:end="0"/>
        <w:rPr/>
      </w:pPr>
      <w:r>
        <w:rPr/>
        <w:t>Re:</w:t>
        <w:tab/>
        <w:t>Sale by Enron North America Corp. ("ENA") of Membership Interests in North Carolina Power Holdings, LLC ("NCPH") to AIG Highstar Capital, L.P. ("Highstar")</w:t>
      </w:r>
    </w:p>
    <w:p>
      <w:pPr>
        <w:pStyle w:val="Normal"/>
        <w:ind w:hanging="720" w:start="720" w:end="0"/>
        <w:rPr/>
      </w:pPr>
      <w:r>
        <w:rPr/>
      </w:r>
    </w:p>
    <w:p>
      <w:pPr>
        <w:pStyle w:val="Normal"/>
        <w:rPr/>
      </w:pPr>
      <w:r>
        <w:rPr/>
        <w:t>Ladies and Gentlemen:</w:t>
      </w:r>
    </w:p>
    <w:p>
      <w:pPr>
        <w:pStyle w:val="BodyTextFirstIndent"/>
        <w:rPr/>
      </w:pPr>
      <w:r>
        <w:rPr/>
        <w:t>Reference is made to that certain Letter dated March 30, 2001 between ENA and Highstar and the attached Term Sheet (collectively the "Letter").  Capitalized terms set forth herein shall have the meanings given thereto in the Letter.   ENA and Highstar hereby agree that the Letter shall be modified as follows:</w:t>
      </w:r>
    </w:p>
    <w:p>
      <w:pPr>
        <w:pStyle w:val="Heading1"/>
        <w:ind w:hanging="0" w:start="0"/>
        <w:rPr/>
      </w:pPr>
      <w:r>
        <w:rPr/>
        <w:t>The Parties acknowledge that they have not been able to reach agreement on the Definite Agreements, but are prepared to discuss restructuring the Transactions documents to recharacterize the allocation to ENA of Sale proceeds under the Brokerage Agreement as deferred compensation under the Securities Purchase Agreement and to continue their discussions to try to resolve the remaining other open issues existing as of the date hereof with respect to the Transactions.</w:t>
      </w:r>
    </w:p>
    <w:p>
      <w:pPr>
        <w:pStyle w:val="Heading1"/>
        <w:ind w:hanging="0" w:start="0"/>
        <w:rPr/>
      </w:pPr>
      <w:r>
        <w:rPr/>
        <w:t>Paragraph 7 of the Letter is hereby modified to reflect that ENA (and its authorized affiliates) may solicit, entertain or encourage inquiries or proposals, and/or negotiate with any other party to agree upon documents, whereby ENA would sell or otherwise transfer or dispose of the LLC Interests or all or any material part of the Facilities to third parties in lieu of the Transactions described in the Letter; provided, that ENA shall (i) not enter into any binding agreements to sell to such parties until after May 11, 2001 and (ii) notify Highstar prior to conducting any material negotiations with third parties prior to May 11, 2001; provided, that ENA shall not be required to disclose to Highstar the terms and conditions relating to such other transactions.</w:t>
      </w:r>
    </w:p>
    <w:p>
      <w:pPr>
        <w:pStyle w:val="Heading1"/>
        <w:ind w:hanging="0" w:start="0"/>
        <w:rPr/>
      </w:pPr>
      <w:r>
        <w:rPr/>
        <w:t>If the Parties have not executed definitive agreements reflecting the Transactions (as modified hereby) in a form acceptable to each Party, in its sole discretion, by May 11, 2001, the Letter, as amended hereby, may be terminated by either Party (by delivery of written notice of termination to the other Party) for any reason or no reason.  Following any such termination, neither Party shall have any further obligation or liability to the other except for those obligations set forth in paragraphs 2, 5 and 9 of the Letter, which are expressly intended to survive any termination.</w:t>
      </w:r>
    </w:p>
    <w:p>
      <w:pPr>
        <w:pStyle w:val="BodyTextFirstIndent"/>
        <w:keepNext w:val="true"/>
        <w:keepLines/>
        <w:rPr/>
      </w:pPr>
      <w:r>
        <w:rPr/>
        <w:t>If the terms of this letter are in accord with your understanding, please sign and return the enclosed counterpart of this letter no later than April 27,  2001.  If you have any questions, please contact Heather Kroll at (713) 853-9633.</w:t>
      </w:r>
    </w:p>
    <w:p>
      <w:pPr>
        <w:pStyle w:val="Normal"/>
        <w:rPr/>
      </w:pPr>
      <w:r>
        <w:rPr/>
      </w:r>
    </w:p>
    <w:p>
      <w:pPr>
        <w:pStyle w:val="Normal"/>
        <w:rPr/>
      </w:pPr>
      <w:r>
        <w:rPr/>
        <w:t>Very truly yours,</w:t>
      </w:r>
    </w:p>
    <w:p>
      <w:pPr>
        <w:pStyle w:val="Normal"/>
        <w:rPr/>
      </w:pPr>
      <w:r>
        <w:rPr/>
      </w:r>
    </w:p>
    <w:p>
      <w:pPr>
        <w:pStyle w:val="Normal"/>
        <w:rPr/>
      </w:pPr>
      <w:r>
        <w:rPr/>
        <w:t>ENRON NORTH AMERICA CORP.</w:t>
      </w:r>
    </w:p>
    <w:p>
      <w:pPr>
        <w:pStyle w:val="Normal"/>
        <w:rPr/>
      </w:pPr>
      <w:r>
        <w:rPr/>
      </w:r>
    </w:p>
    <w:p>
      <w:pPr>
        <w:pStyle w:val="Normal"/>
        <w:rPr/>
      </w:pPr>
      <w:r>
        <w:rPr/>
      </w:r>
    </w:p>
    <w:p>
      <w:pPr>
        <w:pStyle w:val="Normal"/>
        <w:rPr/>
      </w:pPr>
      <w:r>
        <w:rPr/>
      </w:r>
    </w:p>
    <w:p>
      <w:pPr>
        <w:pStyle w:val="Normal"/>
        <w:tabs>
          <w:tab w:val="clear" w:pos="720"/>
          <w:tab w:val="right" w:pos="3600" w:leader="underscore"/>
        </w:tabs>
        <w:rPr/>
      </w:pPr>
      <w:r>
        <w:rPr/>
        <w:t>By:</w:t>
        <w:tab/>
      </w:r>
    </w:p>
    <w:p>
      <w:pPr>
        <w:pStyle w:val="Normal"/>
        <w:tabs>
          <w:tab w:val="clear" w:pos="720"/>
          <w:tab w:val="right" w:pos="3600" w:leader="underscore"/>
        </w:tabs>
        <w:rPr/>
      </w:pPr>
      <w:r>
        <w:rPr/>
        <w:t>Name:</w:t>
        <w:tab/>
      </w:r>
    </w:p>
    <w:p>
      <w:pPr>
        <w:pStyle w:val="Normal"/>
        <w:tabs>
          <w:tab w:val="clear" w:pos="720"/>
          <w:tab w:val="right" w:pos="3600" w:leader="underscore"/>
        </w:tabs>
        <w:rPr/>
      </w:pPr>
      <w:r>
        <w:rPr/>
        <w:t>Title:</w:t>
        <w:tab/>
      </w:r>
    </w:p>
    <w:p>
      <w:pPr>
        <w:pStyle w:val="Normal"/>
        <w:rPr/>
      </w:pPr>
      <w:r>
        <w:rPr/>
      </w:r>
    </w:p>
    <w:p>
      <w:pPr>
        <w:pStyle w:val="Normal"/>
        <w:rPr/>
      </w:pPr>
      <w:r>
        <w:rPr/>
        <w:t>Acknowledged and Agreed to this ____ day of April, 2001, by</w:t>
      </w:r>
    </w:p>
    <w:p>
      <w:pPr>
        <w:pStyle w:val="Normal"/>
        <w:rPr/>
      </w:pPr>
      <w:r>
        <w:rPr/>
      </w:r>
    </w:p>
    <w:p>
      <w:pPr>
        <w:pStyle w:val="Normal"/>
        <w:keepNext w:val="true"/>
        <w:keepLines/>
        <w:rPr/>
      </w:pPr>
      <w:r>
        <w:rPr/>
        <w:t>AIG HIGHSTAR CAPITAL, L.P.</w:t>
      </w:r>
    </w:p>
    <w:p>
      <w:pPr>
        <w:pStyle w:val="Normal"/>
        <w:keepNext w:val="true"/>
        <w:keepLines/>
        <w:rPr/>
      </w:pPr>
      <w:r>
        <w:rPr/>
      </w:r>
    </w:p>
    <w:p>
      <w:pPr>
        <w:pStyle w:val="FootnoteText"/>
        <w:keepNext w:val="true"/>
        <w:keepLines/>
        <w:ind w:hanging="720" w:start="720" w:end="0"/>
        <w:jc w:val="start"/>
        <w:rPr/>
      </w:pPr>
      <w:r>
        <w:rPr/>
        <w:t>By:</w:t>
        <w:tab/>
        <w:t>AIG HIGHSTAR CAPITAL GP, L.P.,</w:t>
        <w:br/>
        <w:t>its General Partners</w:t>
      </w:r>
    </w:p>
    <w:p>
      <w:pPr>
        <w:pStyle w:val="FootnoteText"/>
        <w:keepNext w:val="true"/>
        <w:keepLines/>
        <w:ind w:hanging="720" w:start="1440" w:end="0"/>
        <w:jc w:val="start"/>
        <w:rPr/>
      </w:pPr>
      <w:r>
        <w:rPr/>
      </w:r>
    </w:p>
    <w:p>
      <w:pPr>
        <w:pStyle w:val="FootnoteText"/>
        <w:keepNext w:val="true"/>
        <w:keepLines/>
        <w:ind w:hanging="720" w:start="1440" w:end="0"/>
        <w:jc w:val="start"/>
        <w:rPr/>
      </w:pPr>
      <w:r>
        <w:rPr/>
        <w:t>By:</w:t>
        <w:tab/>
        <w:t>AIG HIGHSTAR CAPITAL MANAGEMENT, LLC,</w:t>
        <w:br/>
        <w:t>its General Partner</w:t>
      </w:r>
    </w:p>
    <w:p>
      <w:pPr>
        <w:pStyle w:val="FootnoteText"/>
        <w:keepNext w:val="true"/>
        <w:keepLines/>
        <w:ind w:hanging="720" w:start="2160" w:end="0"/>
        <w:jc w:val="start"/>
        <w:rPr/>
      </w:pPr>
      <w:r>
        <w:rPr/>
      </w:r>
    </w:p>
    <w:p>
      <w:pPr>
        <w:pStyle w:val="FootnoteText"/>
        <w:keepNext w:val="true"/>
        <w:keepLines/>
        <w:ind w:hanging="720" w:start="2160" w:end="0"/>
        <w:jc w:val="start"/>
        <w:rPr/>
      </w:pPr>
      <w:r>
        <w:rPr/>
        <w:t>By:</w:t>
        <w:tab/>
        <w:t>AIG GLOBAL INVESTMENT CORP.,</w:t>
        <w:br/>
        <w:t>its Manager</w:t>
      </w:r>
    </w:p>
    <w:p>
      <w:pPr>
        <w:pStyle w:val="FootnoteText"/>
        <w:keepNext w:val="true"/>
        <w:keepLines/>
        <w:ind w:hanging="720" w:start="2880" w:end="0"/>
        <w:jc w:val="start"/>
        <w:rPr/>
      </w:pPr>
      <w:r>
        <w:rPr/>
      </w:r>
    </w:p>
    <w:p>
      <w:pPr>
        <w:pStyle w:val="FootnoteText"/>
        <w:keepNext w:val="true"/>
        <w:keepLines/>
        <w:ind w:hanging="720" w:start="2880" w:end="0"/>
        <w:jc w:val="start"/>
        <w:rPr/>
      </w:pPr>
      <w:r>
        <w:rPr/>
      </w:r>
    </w:p>
    <w:p>
      <w:pPr>
        <w:pStyle w:val="FootnoteText"/>
        <w:keepNext w:val="true"/>
        <w:keepLines/>
        <w:ind w:hanging="720" w:start="2880" w:end="0"/>
        <w:jc w:val="start"/>
        <w:rPr/>
      </w:pPr>
      <w:r>
        <w:rPr/>
      </w:r>
    </w:p>
    <w:p>
      <w:pPr>
        <w:pStyle w:val="FootnoteText"/>
        <w:keepNext w:val="true"/>
        <w:keepLines/>
        <w:tabs>
          <w:tab w:val="clear" w:pos="720"/>
          <w:tab w:val="right" w:pos="5760" w:leader="underscore"/>
        </w:tabs>
        <w:ind w:start="2160" w:end="0"/>
        <w:jc w:val="start"/>
        <w:rPr/>
      </w:pPr>
      <w:r>
        <w:rPr/>
        <w:t>By:</w:t>
        <w:tab/>
      </w:r>
    </w:p>
    <w:p>
      <w:pPr>
        <w:pStyle w:val="FootnoteText"/>
        <w:keepNext w:val="true"/>
        <w:keepLines/>
        <w:tabs>
          <w:tab w:val="clear" w:pos="720"/>
          <w:tab w:val="right" w:pos="5760" w:leader="underscore"/>
        </w:tabs>
        <w:ind w:start="2160" w:end="0"/>
        <w:jc w:val="start"/>
        <w:rPr/>
      </w:pPr>
      <w:r>
        <w:rPr/>
        <w:t>Name:</w:t>
        <w:tab/>
      </w:r>
    </w:p>
    <w:p>
      <w:pPr>
        <w:pStyle w:val="FootnoteText"/>
        <w:keepNext w:val="true"/>
        <w:keepLines/>
        <w:tabs>
          <w:tab w:val="clear" w:pos="720"/>
          <w:tab w:val="right" w:pos="5760" w:leader="underscore"/>
        </w:tabs>
        <w:ind w:start="2160" w:end="0"/>
        <w:jc w:val="start"/>
        <w:rPr/>
      </w:pPr>
      <w:r>
        <w:rPr/>
        <w:t>Title:</w:t>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Houston\1283432.2</w:t>
    </w:r>
  </w:p>
  <w:p>
    <w:pPr>
      <w:pStyle w:val="Footer"/>
      <w:rPr>
        <w:sz w:val="16"/>
      </w:rPr>
    </w:pPr>
    <w:r>
      <w:rPr>
        <w:sz w:val="16"/>
      </w:rPr>
      <w:t>C:TEMP\Letter to Highstar 4-27-01.doc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AIG Highstar Capital, L.P.</w:t>
    </w:r>
  </w:p>
  <w:p>
    <w:pPr>
      <w:pStyle w:val="Header"/>
      <w:rPr/>
    </w:pPr>
    <w:r>
      <w:rPr/>
      <w:t>April 27, 2001</w:t>
    </w:r>
  </w:p>
  <w:p>
    <w:pPr>
      <w:pStyle w:val="Head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lowerLetter"/>
      <w:lvlText w:val="%2."/>
      <w:lvlJc w:val="start"/>
      <w:pPr>
        <w:tabs>
          <w:tab w:val="num" w:pos="1440"/>
        </w:tabs>
        <w:ind w:start="1440" w:hanging="720"/>
      </w:pPr>
      <w:rPr>
        <w:sz w:val="24"/>
        <w:i w:val="false"/>
        <w:b w:val="false"/>
        <w:rFonts w:ascii="Times New Roman" w:hAnsi="Times New Roman" w:cs="Times New Roman"/>
      </w:rPr>
    </w:lvl>
    <w:lvl w:ilvl="2">
      <w:start w:val="1"/>
      <w:pStyle w:val="Heading3"/>
      <w:numFmt w:val="lowerRoman"/>
      <w:lvlText w:val="(%3)"/>
      <w:lvlJc w:val="start"/>
      <w:pPr>
        <w:tabs>
          <w:tab w:val="num" w:pos="2160"/>
        </w:tabs>
        <w:ind w:start="2160" w:hanging="720"/>
      </w:pPr>
      <w:rPr/>
    </w:lvl>
    <w:lvl w:ilvl="3">
      <w:start w:val="1"/>
      <w:numFmt w:val="lowerRoman"/>
      <w:lvlText w:val="(%4)"/>
      <w:lvlJc w:val="start"/>
      <w:pPr>
        <w:tabs>
          <w:tab w:val="num" w:pos="180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isLgl/>
      <w:numFmt w:val="decimal"/>
      <w:lvlText w:val="%1."/>
      <w:lvlJc w:val="start"/>
      <w:pPr>
        <w:tabs>
          <w:tab w:val="num" w:pos="720"/>
        </w:tabs>
        <w:ind w:start="720" w:hanging="720"/>
      </w:pPr>
      <w:rPr>
        <w:caps/>
        <w:i w:val="false"/>
        <w:b/>
      </w:rPr>
    </w:lvl>
    <w:lvl w:ilvl="1">
      <w:start w:val="1"/>
      <w:isLgl/>
      <w:numFmt w:val="decimal"/>
      <w:lvlText w:val="%1.%2"/>
      <w:lvlJc w:val="start"/>
      <w:pPr>
        <w:tabs>
          <w:tab w:val="num" w:pos="1440"/>
        </w:tabs>
        <w:ind w:start="1440" w:hanging="720"/>
      </w:pPr>
      <w:rPr>
        <w:i w:val="false"/>
        <w:b/>
      </w:rPr>
    </w:lvl>
    <w:lvl w:ilvl="2">
      <w:start w:val="1"/>
      <w:isLgl/>
      <w:numFmt w:val="decimal"/>
      <w:lvlText w:val="%1.%2.%3"/>
      <w:lvlJc w:val="start"/>
      <w:pPr>
        <w:tabs>
          <w:tab w:val="num" w:pos="2160"/>
        </w:tabs>
        <w:ind w:start="2160" w:hanging="720"/>
      </w:pPr>
      <w:rPr>
        <w:i w:val="false"/>
        <w:b/>
      </w:r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abstractNum w:abstractNumId="3">
    <w:lvl w:ilvl="0">
      <w:start w:val="1"/>
      <w:numFmt w:val="upperRoman"/>
      <w:suff w:val="nothing"/>
      <w:lvlText w:val="ARTICLE %1"/>
      <w:lvlJc w:val="center"/>
      <w:pPr>
        <w:tabs>
          <w:tab w:val="num" w:pos="0"/>
        </w:tabs>
        <w:ind w:start="0" w:firstLine="5040"/>
      </w:pPr>
      <w:rPr>
        <w:sz w:val="24"/>
        <w:i w:val="false"/>
        <w:b/>
        <w:rFonts w:ascii="Times New Roman" w:hAnsi="Times New Roman" w:cs="Times New Roman"/>
      </w:rPr>
    </w:lvl>
    <w:lvl w:ilvl="1">
      <w:start w:val="1"/>
      <w:isLgl/>
      <w:numFmt w:val="decimal"/>
      <w:lvlText w:val="Section %1.%2"/>
      <w:lvlJc w:val="start"/>
      <w:pPr>
        <w:tabs>
          <w:tab w:val="num" w:pos="1800"/>
        </w:tabs>
        <w:ind w:start="0" w:hanging="0"/>
      </w:pPr>
    </w:lvl>
    <w:lvl w:ilvl="2">
      <w:start w:val="1"/>
      <w:numFmt w:val="lowerLetter"/>
      <w:lvlText w:val="(%3)"/>
      <w:lvlJc w:val="start"/>
      <w:pPr>
        <w:tabs>
          <w:tab w:val="num" w:pos="1080"/>
        </w:tabs>
        <w:ind w:start="720" w:hanging="0"/>
      </w:pPr>
    </w:lvl>
    <w:lvl w:ilvl="3">
      <w:start w:val="1"/>
      <w:numFmt w:val="lowerRoman"/>
      <w:lvlText w:val="(%4)"/>
      <w:lvlJc w:val="start"/>
      <w:pPr>
        <w:tabs>
          <w:tab w:val="num" w:pos="2160"/>
        </w:tabs>
        <w:ind w:start="1440" w:hanging="0"/>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spacing w:before="240" w:after="0"/>
      <w:outlineLvl w:val="0"/>
    </w:pPr>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character" w:styleId="WW8Num1z0">
    <w:name w:val="WW8Num1z0"/>
    <w:qFormat/>
    <w:rPr>
      <w:b/>
      <w:i w:val="false"/>
      <w:caps/>
    </w:rPr>
  </w:style>
  <w:style w:type="character" w:styleId="WW8Num1z1">
    <w:name w:val="WW8Num1z1"/>
    <w:qFormat/>
    <w:rPr>
      <w:b/>
      <w:i w:val="false"/>
    </w:rPr>
  </w:style>
  <w:style w:type="character" w:styleId="WW8Num3z1">
    <w:name w:val="WW8Num3z1"/>
    <w:qFormat/>
    <w:rPr>
      <w:rFonts w:ascii="Times New Roman" w:hAnsi="Times New Roman" w:cs="Times New Roman"/>
      <w:b w:val="false"/>
      <w:i w:val="false"/>
      <w:sz w:val="24"/>
    </w:rPr>
  </w:style>
  <w:style w:type="character" w:styleId="WW8Num3z2">
    <w:name w:val="WW8Num3z2"/>
    <w:qFormat/>
    <w:rPr/>
  </w:style>
  <w:style w:type="character" w:styleId="WW8Num5z0">
    <w:name w:val="WW8Num5z0"/>
    <w:qFormat/>
    <w:rPr>
      <w:rFonts w:ascii="Times New Roman" w:hAnsi="Times New Roman" w:cs="Times New Roman"/>
      <w:b/>
      <w:i w:val="false"/>
      <w:sz w:val="24"/>
    </w:rPr>
  </w:style>
  <w:style w:type="character" w:styleId="DefaultParagraphFont">
    <w:name w:val="Default Paragraph Font"/>
    <w:qFormat/>
    <w:rPr/>
  </w:style>
  <w:style w:type="character" w:styleId="Corporate2A">
    <w:name w:val="Corporate2A"/>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240" w:after="0"/>
      <w:ind w:firstLine="720" w:start="0" w:end="0"/>
    </w:pPr>
    <w:rPr/>
  </w:style>
  <w:style w:type="paragraph" w:styleId="Corporate1">
    <w:name w:val="Corporate 1"/>
    <w:basedOn w:val="Normal"/>
    <w:next w:val="Corporate2"/>
    <w:qFormat/>
    <w:pPr>
      <w:numPr>
        <w:ilvl w:val="0"/>
        <w:numId w:val="3"/>
      </w:numPr>
      <w:spacing w:before="0" w:after="360"/>
      <w:jc w:val="center"/>
      <w:outlineLvl w:val="0"/>
    </w:pPr>
    <w:rPr>
      <w:b/>
      <w:caps/>
    </w:rPr>
  </w:style>
  <w:style w:type="paragraph" w:styleId="Corporate2">
    <w:name w:val="Corporate 2"/>
    <w:basedOn w:val="Normal"/>
    <w:next w:val="Normal"/>
    <w:qFormat/>
    <w:pPr>
      <w:numPr>
        <w:ilvl w:val="0"/>
        <w:numId w:val="3"/>
      </w:numPr>
      <w:tabs>
        <w:tab w:val="clear" w:pos="720"/>
        <w:tab w:val="left" w:pos="1440" w:leader="none"/>
      </w:tabs>
      <w:spacing w:before="0" w:after="240"/>
      <w:outlineLvl w:val="1"/>
    </w:pPr>
    <w:rPr/>
  </w:style>
  <w:style w:type="paragraph" w:styleId="Corporate3">
    <w:name w:val="Corporate 3"/>
    <w:basedOn w:val="Normal"/>
    <w:qFormat/>
    <w:pPr>
      <w:numPr>
        <w:ilvl w:val="0"/>
        <w:numId w:val="3"/>
      </w:numPr>
      <w:spacing w:before="0" w:after="240"/>
    </w:pPr>
    <w:rPr/>
  </w:style>
  <w:style w:type="paragraph" w:styleId="Corporate4">
    <w:name w:val="Corporate 4"/>
    <w:basedOn w:val="Normal"/>
    <w:qFormat/>
    <w:pPr>
      <w:numPr>
        <w:ilvl w:val="0"/>
        <w:numId w:val="3"/>
      </w:numPr>
      <w:spacing w:before="0" w:after="240"/>
    </w:pPr>
    <w:rPr/>
  </w:style>
  <w:style w:type="paragraph" w:styleId="Corporate1A">
    <w:name w:val="Corporate1A"/>
    <w:basedOn w:val="Normal"/>
    <w:next w:val="Corporate2"/>
    <w:qFormat/>
    <w:pPr>
      <w:tabs>
        <w:tab w:val="clear" w:pos="720"/>
        <w:tab w:val="center" w:pos="4680" w:leader="none"/>
      </w:tabs>
      <w:spacing w:before="0" w:after="240"/>
      <w:jc w:val="center"/>
    </w:pPr>
    <w:rPr/>
  </w:style>
  <w:style w:type="paragraph" w:styleId="PlainText">
    <w:name w:val="Plain Text"/>
    <w:basedOn w:val="Normal"/>
    <w:qFormat/>
    <w:pPr/>
    <w:rPr>
      <w:rFonts w:ascii="Courier New" w:hAnsi="Courier New" w:cs="Courier New"/>
      <w:sz w:val="20"/>
    </w:rPr>
  </w:style>
  <w:style w:type="paragraph" w:styleId="Section1">
    <w:name w:val="Section 1"/>
    <w:basedOn w:val="PlainText"/>
    <w:qFormat/>
    <w:pPr>
      <w:keepNext w:val="true"/>
      <w:spacing w:before="0" w:after="240"/>
      <w:outlineLvl w:val="0"/>
    </w:pPr>
    <w:rPr>
      <w:rFonts w:ascii="Times New Roman Bold" w:hAnsi="Times New Roman Bold" w:cs="Times New Roman Bold"/>
      <w:b/>
      <w:caps/>
      <w:sz w:val="24"/>
    </w:rPr>
  </w:style>
  <w:style w:type="paragraph" w:styleId="Section11">
    <w:name w:val="Section 1.1"/>
    <w:basedOn w:val="Normal"/>
    <w:qFormat/>
    <w:pPr>
      <w:numPr>
        <w:ilvl w:val="0"/>
        <w:numId w:val="2"/>
      </w:numPr>
      <w:spacing w:before="0" w:after="240"/>
    </w:pPr>
    <w:rPr/>
  </w:style>
  <w:style w:type="paragraph" w:styleId="Section111">
    <w:name w:val="Section 1.1.1"/>
    <w:basedOn w:val="Normal"/>
    <w:qFormat/>
    <w:pPr>
      <w:numPr>
        <w:ilvl w:val="0"/>
        <w:numId w:val="2"/>
      </w:numPr>
      <w:spacing w:before="0" w:after="240"/>
    </w:pPr>
    <w:rPr/>
  </w:style>
  <w:style w:type="paragraph" w:styleId="BodyTextIndent2">
    <w:name w:val="Body Text Indent 2"/>
    <w:basedOn w:val="Normal"/>
    <w:qFormat/>
    <w:pPr>
      <w:widowControl w:val="false"/>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2001-04-27T14:42:00Z</dcterms:created>
  <dc:creator>Bracewell &amp; Patterson, L.L.P.</dc:creator>
  <dc:description/>
  <dc:language>en-CA</dc:language>
  <cp:lastModifiedBy>Heather Kroll</cp:lastModifiedBy>
  <cp:lastPrinted>2001-04-27T16:04:00Z</cp:lastPrinted>
  <dcterms:modified xsi:type="dcterms:W3CDTF">2001-04-27T18:35:00Z</dcterms:modified>
  <cp:revision>7</cp:revision>
  <dc:subject/>
  <dc:title>April 27, 2001</dc:title>
</cp:coreProperties>
</file>