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March __, 2001</w:t>
      </w:r>
    </w:p>
    <w:p>
      <w:pPr>
        <w:pStyle w:val="Header"/>
        <w:tabs>
          <w:tab w:val="clear" w:pos="4320"/>
          <w:tab w:val="clear" w:pos="8640"/>
        </w:tabs>
        <w:rPr/>
      </w:pPr>
      <w:r>
        <w:rPr/>
      </w:r>
    </w:p>
    <w:p>
      <w:pPr>
        <w:pStyle w:val="Normal"/>
        <w:rPr/>
      </w:pPr>
      <w:r>
        <w:rPr/>
        <w:t>AIG Highstar Capital, L.P.</w:t>
      </w:r>
    </w:p>
    <w:p>
      <w:pPr>
        <w:pStyle w:val="Normal"/>
        <w:rPr/>
      </w:pPr>
      <w:r>
        <w:rPr/>
        <w:t>c/o AIG Global Investment Corp.</w:t>
      </w:r>
    </w:p>
    <w:p>
      <w:pPr>
        <w:pStyle w:val="Normal"/>
        <w:rPr/>
      </w:pPr>
      <w:r>
        <w:rPr/>
        <w:t>Global Infrastructure</w:t>
      </w:r>
    </w:p>
    <w:p>
      <w:pPr>
        <w:pStyle w:val="Normal"/>
        <w:rPr/>
      </w:pPr>
      <w:r>
        <w:rPr/>
        <w:t>175 Water Street, 26th Floor</w:t>
      </w:r>
    </w:p>
    <w:p>
      <w:pPr>
        <w:pStyle w:val="Normal"/>
        <w:rPr/>
      </w:pPr>
      <w:r>
        <w:rPr/>
        <w:t>New York, NY  10038</w:t>
      </w:r>
    </w:p>
    <w:p>
      <w:pPr>
        <w:pStyle w:val="Normal"/>
        <w:rPr/>
      </w:pPr>
      <w:r>
        <w:rPr/>
      </w:r>
    </w:p>
    <w:p>
      <w:pPr>
        <w:pStyle w:val="Header"/>
        <w:tabs>
          <w:tab w:val="clear" w:pos="4320"/>
          <w:tab w:val="clear" w:pos="8640"/>
        </w:tabs>
        <w:rPr>
          <w:u w:val="single"/>
        </w:rPr>
      </w:pPr>
      <w:r>
        <w:rPr/>
        <w:t>Attention: Robert Percopo, Senior Vice President</w:t>
      </w:r>
    </w:p>
    <w:p>
      <w:pPr>
        <w:pStyle w:val="Normal"/>
        <w:rPr>
          <w:u w:val="single"/>
        </w:rPr>
      </w:pPr>
      <w:r>
        <w:rPr>
          <w:u w:val="single"/>
        </w:rPr>
      </w:r>
    </w:p>
    <w:p>
      <w:pPr>
        <w:pStyle w:val="Normal"/>
        <w:ind w:hanging="720" w:start="720" w:end="0"/>
        <w:rPr/>
      </w:pPr>
      <w:r>
        <w:rPr/>
        <w:t>Re:</w:t>
        <w:tab/>
        <w:t>Sale by Enron North America Corp. (“ENA”) of Membership Interests in North Carolina Power Holdings, LLC (“NCPH”) to AIG Highstar Capital, L.P. (“Highstar”)</w:t>
      </w:r>
    </w:p>
    <w:p>
      <w:pPr>
        <w:pStyle w:val="Normal"/>
        <w:ind w:hanging="720" w:start="720" w:end="0"/>
        <w:rPr/>
      </w:pPr>
      <w:r>
        <w:rPr/>
      </w:r>
    </w:p>
    <w:p>
      <w:pPr>
        <w:pStyle w:val="Normal"/>
        <w:rPr/>
      </w:pPr>
      <w:r>
        <w:rPr/>
        <w:t>Ladies and Gentlemen:</w:t>
      </w:r>
    </w:p>
    <w:p>
      <w:pPr>
        <w:pStyle w:val="Normal"/>
        <w:rPr/>
      </w:pPr>
      <w:r>
        <w:rPr/>
      </w:r>
    </w:p>
    <w:p>
      <w:pPr>
        <w:pStyle w:val="BodyText"/>
        <w:rPr/>
      </w:pPr>
      <w:r>
        <w:rPr/>
        <w:tab/>
        <w:t>This letter sets forth the principal terms of our proposed transaction (the “Transaction”) and represents a binding commitment of the parties to conclude negotiations on binding documents relating to Highstar’s purchase of NCPH’s cogeneration facilities located in Lumberton and Elizabethtown, North Carolina (the Facilities”) as described in the terms and conditions set forth in the attached term sheet.</w:t>
      </w:r>
    </w:p>
    <w:p>
      <w:pPr>
        <w:pStyle w:val="Normal"/>
        <w:numPr>
          <w:ilvl w:val="0"/>
          <w:numId w:val="1"/>
        </w:numPr>
        <w:tabs>
          <w:tab w:val="clear" w:pos="720"/>
          <w:tab w:val="left" w:pos="0" w:leader="none"/>
        </w:tabs>
        <w:spacing w:before="0" w:after="120"/>
        <w:jc w:val="both"/>
        <w:rPr/>
      </w:pPr>
      <w:r>
        <w:rPr>
          <w:u w:val="single"/>
        </w:rPr>
        <w:t>Term Sheet</w:t>
      </w:r>
      <w:r>
        <w:rPr/>
        <w:t xml:space="preserve">.  The Transaction shall be made in accordance with this letter and the term sheet ("Term Sheet") attached hereto as </w:t>
      </w:r>
      <w:r>
        <w:rPr>
          <w:u w:val="single"/>
        </w:rPr>
        <w:t>Attachment "A"</w:t>
      </w:r>
      <w:r>
        <w:rPr/>
        <w:t xml:space="preserve">.  To the extent any material terms or conditions are not set forth on </w:t>
      </w:r>
      <w:r>
        <w:rPr>
          <w:u w:val="single"/>
        </w:rPr>
        <w:t>Attachment "A"</w:t>
      </w:r>
      <w:r>
        <w:rPr/>
        <w:t>, the parties agree to incorporate standard terms and conditions for similar transactions of this nature consistent with the economic results anticipated by the parties.  In the event of a conflict between the Term Sheet and this letter, this letter shall control.</w:t>
      </w:r>
    </w:p>
    <w:p>
      <w:pPr>
        <w:pStyle w:val="Normal"/>
        <w:numPr>
          <w:ilvl w:val="0"/>
          <w:numId w:val="1"/>
        </w:numPr>
        <w:spacing w:before="0" w:after="120"/>
        <w:jc w:val="both"/>
        <w:rPr/>
      </w:pPr>
      <w:r>
        <w:rPr>
          <w:u w:val="single"/>
        </w:rPr>
        <w:t>Definitive Agreements</w:t>
      </w:r>
      <w:r>
        <w:rPr/>
        <w:t>.  ENA and Highstar shall use reasonable efforts to incorporate the terms and conditions expressed herein and in the Term Sheet in mutually acceptable definitive agreements (the "Definitive Agreements") no later than May 1, 2001 (the "Closing Date").</w:t>
      </w:r>
    </w:p>
    <w:p>
      <w:pPr>
        <w:pStyle w:val="Normal"/>
        <w:numPr>
          <w:ilvl w:val="0"/>
          <w:numId w:val="1"/>
        </w:numPr>
        <w:spacing w:before="0" w:after="120"/>
        <w:jc w:val="both"/>
        <w:rPr/>
      </w:pPr>
      <w:r>
        <w:rPr>
          <w:u w:val="single"/>
        </w:rPr>
        <w:t>Confidentiality</w:t>
      </w:r>
      <w:r>
        <w:rPr/>
        <w:t>.  The parties each recognize that the confidentiality of this letter and the negotiations leading to the execution of this letter are of vital importance to each of the parties. Except as required by law, neither this letter, the Term Sheet nor its contents may be disclosed, except to those individuals who are the parties’ officers, employees or advisors who have a need to know of such matters and then only on the condition that such individuals also agree to such confidentiality.</w:t>
      </w:r>
    </w:p>
    <w:p>
      <w:pPr>
        <w:pStyle w:val="Normal"/>
        <w:numPr>
          <w:ilvl w:val="0"/>
          <w:numId w:val="1"/>
        </w:numPr>
        <w:spacing w:before="0" w:after="120"/>
        <w:jc w:val="both"/>
        <w:rPr/>
      </w:pPr>
      <w:r>
        <w:rPr>
          <w:u w:val="single"/>
        </w:rPr>
        <w:t>No Oral Agreements</w:t>
      </w:r>
      <w:r>
        <w:rPr/>
        <w:t>.  Subject to the foregoing, this letter and the Term Sheet set out the parties understanding as of this date, and there are no other written or oral agreements or understandings among the parties.</w:t>
      </w:r>
    </w:p>
    <w:p>
      <w:pPr>
        <w:pStyle w:val="Normal"/>
        <w:numPr>
          <w:ilvl w:val="0"/>
          <w:numId w:val="1"/>
        </w:numPr>
        <w:spacing w:before="0" w:after="120"/>
        <w:jc w:val="both"/>
        <w:rPr/>
      </w:pPr>
      <w:r>
        <w:rPr>
          <w:u w:val="single"/>
        </w:rPr>
        <w:t>Arbitration</w:t>
      </w:r>
      <w:r>
        <w:rPr/>
        <w:t>.  The parties hereto agree to submit to arbitration in the City of New York, New York regarding any dispute arising out of this letter or the Term Sheet under the Commercial Arbitration Rules of the American Arbitration Association. Both parties, or either one of them, shall, within five (5) days after the giving of notice by one party to any other party of its desire to refer the matter in dispute to arbitration, appoint one arbitrator, and both of the arbitrators so appointed shall, within five (5) days after the second of their respective appointments, appoint a third arbitrator as a neutral and impartial arbitrator, and the three arbitrators so appointed shall constitute the arbitration panel, over which said third arbitrator shall preside.  If any party fails to appoint its arbitrator within said five day period, the party which has appointed its arbitrator may apply to the American Arbitration Association for appointment of such arbitrator and the parties shall be bound by the selection of such association.  If the two arbitrators so appointed fail to agree on a third arbitrator, any party may apply to the American Arbitration Association for appointment of said third arbitrator, and the parties shall be bound by the selection of such association.  The parties further agree that they will faithfully observe this letter and the rules, and that they will abide by and perform any award rendered by the arbitrators and that a judgment of a court having jurisdiction may be entered upon the award.</w:t>
      </w:r>
    </w:p>
    <w:p>
      <w:pPr>
        <w:pStyle w:val="Normal"/>
        <w:numPr>
          <w:ilvl w:val="0"/>
          <w:numId w:val="1"/>
        </w:numPr>
        <w:spacing w:before="0" w:after="120"/>
        <w:jc w:val="both"/>
        <w:rPr/>
      </w:pPr>
      <w:r>
        <w:rPr>
          <w:u w:val="single"/>
        </w:rPr>
        <w:t>Binding Agreement</w:t>
      </w:r>
      <w:r>
        <w:rPr/>
        <w:t>.  The provisions of this letter shall be binding upon the parties hereto and their respective successors and assigns.</w:t>
      </w:r>
    </w:p>
    <w:p>
      <w:pPr>
        <w:pStyle w:val="BodyTextIndent2"/>
        <w:rPr/>
      </w:pPr>
      <w:r>
        <w:rPr/>
        <w:t>If the terms of this letter are in accord with your understanding, please sign and return the enclosed counterpart of this letter no later than March 31, 2001, after which date, if not returned this letter shall be null and void.  If you have any questions, please contact Ozzie Pagan at (713) 853-5429 or Heather Kroll at (713) 853-9633.</w:t>
      </w:r>
    </w:p>
    <w:p>
      <w:pPr>
        <w:pStyle w:val="Normal"/>
        <w:rPr/>
      </w:pPr>
      <w:r>
        <w:rPr/>
      </w:r>
    </w:p>
    <w:p>
      <w:pPr>
        <w:pStyle w:val="Normal"/>
        <w:rPr/>
      </w:pPr>
      <w:r>
        <w:rPr/>
        <w:t>Very truly yours,</w:t>
      </w:r>
    </w:p>
    <w:p>
      <w:pPr>
        <w:pStyle w:val="Normal"/>
        <w:rPr/>
      </w:pPr>
      <w:r>
        <w:rPr/>
      </w:r>
    </w:p>
    <w:p>
      <w:pPr>
        <w:pStyle w:val="Normal"/>
        <w:rPr>
          <w:b/>
        </w:rPr>
      </w:pPr>
      <w:r>
        <w:rPr>
          <w:b/>
        </w:rPr>
        <w:t>ENRON NORTH AMERCIA CORP.</w:t>
      </w:r>
    </w:p>
    <w:p>
      <w:pPr>
        <w:pStyle w:val="Normal"/>
        <w:rPr>
          <w:b/>
        </w:rPr>
      </w:pPr>
      <w:r>
        <w:rPr>
          <w:b/>
        </w:rPr>
      </w:r>
    </w:p>
    <w:p>
      <w:pPr>
        <w:pStyle w:val="Normal"/>
        <w:rPr/>
      </w:pPr>
      <w:r>
        <w:rPr/>
      </w:r>
    </w:p>
    <w:p>
      <w:pPr>
        <w:pStyle w:val="Normal"/>
        <w:rPr/>
      </w:pPr>
      <w:r>
        <w:rPr/>
        <w:t>By:________________________</w:t>
      </w:r>
    </w:p>
    <w:p>
      <w:pPr>
        <w:pStyle w:val="Normal"/>
        <w:ind w:start="360" w:end="0"/>
        <w:rPr/>
      </w:pPr>
      <w:r>
        <w:rPr/>
        <w:t>Ozzie Pagan</w:t>
      </w:r>
    </w:p>
    <w:p>
      <w:pPr>
        <w:pStyle w:val="Normal"/>
        <w:ind w:start="360" w:end="0"/>
        <w:rPr>
          <w:b/>
        </w:rPr>
      </w:pPr>
      <w:r>
        <w:rPr/>
        <w:t xml:space="preserve">Vice President </w:t>
      </w:r>
    </w:p>
    <w:p>
      <w:pPr>
        <w:pStyle w:val="Normal"/>
        <w:rPr>
          <w:b/>
        </w:rPr>
      </w:pPr>
      <w:r>
        <w:rPr>
          <w:b/>
        </w:rPr>
      </w:r>
    </w:p>
    <w:p>
      <w:pPr>
        <w:pStyle w:val="Normal"/>
        <w:rPr>
          <w:b/>
        </w:rPr>
      </w:pPr>
      <w:r>
        <w:rPr>
          <w:b/>
        </w:rPr>
        <w:t xml:space="preserve">Acknowledged and Agreed to this ___ day of March, 2001, by </w:t>
      </w:r>
    </w:p>
    <w:p>
      <w:pPr>
        <w:pStyle w:val="Normal"/>
        <w:rPr>
          <w:b/>
        </w:rPr>
      </w:pPr>
      <w:r>
        <w:rPr>
          <w:b/>
        </w:rPr>
      </w:r>
    </w:p>
    <w:p>
      <w:pPr>
        <w:pStyle w:val="Normal"/>
        <w:rPr>
          <w:b/>
        </w:rPr>
      </w:pPr>
      <w:r>
        <w:rPr>
          <w:b/>
        </w:rPr>
        <w:t>AIG HIGHSTAR CAPITAL, L.P.</w:t>
      </w:r>
    </w:p>
    <w:p>
      <w:pPr>
        <w:pStyle w:val="Normal"/>
        <w:rPr>
          <w:b/>
        </w:rPr>
      </w:pPr>
      <w:r>
        <w:rPr>
          <w:b/>
        </w:rPr>
      </w:r>
    </w:p>
    <w:p>
      <w:pPr>
        <w:pStyle w:val="Normal"/>
        <w:rPr>
          <w:b/>
        </w:rPr>
      </w:pPr>
      <w:r>
        <w:rPr>
          <w:b/>
        </w:rPr>
      </w:r>
    </w:p>
    <w:p>
      <w:pPr>
        <w:pStyle w:val="Normal"/>
        <w:rPr/>
      </w:pPr>
      <w:r>
        <w:rPr/>
        <w:t>By: AIG Global Investment Corp., General Partner</w:t>
      </w:r>
    </w:p>
    <w:p>
      <w:pPr>
        <w:pStyle w:val="Normal"/>
        <w:ind w:firstLine="720" w:end="0"/>
        <w:rPr/>
      </w:pPr>
      <w:r>
        <w:rPr/>
      </w:r>
    </w:p>
    <w:p>
      <w:pPr>
        <w:pStyle w:val="Normal"/>
        <w:ind w:firstLine="720" w:end="0"/>
        <w:rPr/>
      </w:pPr>
      <w:r>
        <w:rPr/>
        <w:t>By:__________________________</w:t>
      </w:r>
    </w:p>
    <w:p>
      <w:pPr>
        <w:pStyle w:val="BodyTextIndent2"/>
        <w:rPr/>
      </w:pPr>
      <w:r>
        <w:rPr/>
        <w:t>Title:_________________________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Houston\1268980.2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Cs/>
      </w:rPr>
    </w:pPr>
    <w:r>
      <w:rPr>
        <w:bCs/>
      </w:rPr>
      <w:t>AIG Highstar Capital, L.P.</w:t>
    </w:r>
  </w:p>
  <w:p>
    <w:pPr>
      <w:pStyle w:val="Header"/>
      <w:rPr/>
    </w:pPr>
    <w:r>
      <w:rPr/>
      <w:t>March __, 2001</w:t>
    </w:r>
  </w:p>
  <w:p>
    <w:pPr>
      <w:pStyle w:val="Head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8"/>
      </w:rPr>
    </w:pPr>
    <w:r>
      <w:rPr>
        <w:b/>
        <w:bCs/>
        <w:sz w:val="28"/>
      </w:rPr>
      <w:t>DRAFT FOR DISCUSSION PURPOSES ONLY</w:t>
    </w:r>
  </w:p>
  <w:p>
    <w:pPr>
      <w:pStyle w:val="Header"/>
      <w:jc w:val="end"/>
      <w:rPr>
        <w:b/>
        <w:bCs/>
        <w:sz w:val="28"/>
      </w:rPr>
    </w:pPr>
    <w:r>
      <w:rPr>
        <w:b/>
        <w:bCs/>
        <w:sz w:val="28"/>
      </w:rPr>
      <w:t>MARCH 22,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2001-03-22T21:42:00Z</dcterms:created>
  <dc:creator>akoehle</dc:creator>
  <dc:description/>
  <dc:language>en-CA</dc:language>
  <cp:lastModifiedBy>Heather Kroll</cp:lastModifiedBy>
  <cp:lastPrinted>2001-03-22T17:56:00Z</cp:lastPrinted>
  <dcterms:modified xsi:type="dcterms:W3CDTF">2001-03-22T21:42:00Z</dcterms:modified>
  <cp:revision>2</cp:revision>
  <dc:subject/>
  <dc:title>July 11, 2000</dc:title>
</cp:coreProperties>
</file>