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April __, 2001</w:t>
      </w:r>
    </w:p>
    <w:p>
      <w:pPr>
        <w:pStyle w:val="Normal"/>
        <w:rPr/>
      </w:pPr>
      <w:r>
        <w:rPr/>
      </w:r>
    </w:p>
    <w:p>
      <w:pPr>
        <w:pStyle w:val="Index1"/>
        <w:rPr>
          <w:rFonts w:ascii="Times New Roman" w:hAnsi="Times New Roman" w:cs="Times New Roman"/>
        </w:rPr>
      </w:pPr>
      <w:r>
        <w:rPr>
          <w:rFonts w:cs="Times New Roman" w:ascii="Times New Roman" w:hAnsi="Times New Roman"/>
        </w:rPr>
        <w:t>AIG Commodity Arbitrage Fund L.P.</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AIG Commodity Arbitrage Fund L.P. (“Counterparty”) and Enron North America Corp. (“ENA”) on April 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jc w:val="both"/>
        <w:rPr/>
      </w:pPr>
      <w:r>
        <w:rPr/>
        <w:t xml:space="preserve">b)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AIG COMMODITY ARBITRAGE FUND L.P.</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rPr/>
      </w:pPr>
      <w:r>
        <w:rPr/>
      </w:r>
    </w:p>
    <w:p>
      <w:pPr>
        <w:pStyle w:val="Normal"/>
        <w:tabs>
          <w:tab w:val="clear" w:pos="720"/>
          <w:tab w:val="left" w:pos="1440" w:leader="none"/>
        </w:tabs>
        <w:rPr/>
      </w:pPr>
      <w:r>
        <w:rPr/>
        <w:tab/>
      </w:r>
    </w:p>
    <w:p>
      <w:pPr>
        <w:pStyle w:val="Normal"/>
        <w:keepNext w:val="true"/>
        <w:jc w:val="end"/>
        <w:rPr/>
      </w:pPr>
      <w:r>
        <w:rPr/>
        <w:tab/>
      </w:r>
    </w:p>
    <w:p>
      <w:pPr>
        <w:pStyle w:val="Normal"/>
        <w:keepNext w:val="true"/>
        <w:jc w:val="end"/>
        <w:rPr/>
      </w:pPr>
      <w:r>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AIG Commodity Arbitrage Fund  L.P.</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representations:</w:t>
      </w:r>
    </w:p>
    <w:p>
      <w:pPr>
        <w:pStyle w:val="Normal"/>
        <w:spacing w:lineRule="exact" w:line="240" w:before="240" w:after="0"/>
        <w:ind w:hanging="180" w:start="900" w:end="0"/>
        <w:jc w:val="both"/>
        <w:rPr/>
      </w:pPr>
      <w:r>
        <w:rPr/>
        <w:t>(i)</w:t>
        <w:tab/>
        <w:t>The following representation applies to Party A:</w:t>
      </w:r>
    </w:p>
    <w:p>
      <w:pPr>
        <w:pStyle w:val="Normal"/>
        <w:spacing w:lineRule="exact" w:line="240" w:before="240" w:after="0"/>
        <w:ind w:firstLine="540" w:start="900" w:end="0"/>
        <w:jc w:val="both"/>
        <w:rPr/>
      </w:pPr>
      <w:r>
        <w:rPr/>
        <w:t>Party A is a corporation organized under the law of the State of Delaware.</w:t>
      </w:r>
    </w:p>
    <w:p>
      <w:pPr>
        <w:pStyle w:val="Normal"/>
        <w:spacing w:lineRule="exact" w:line="240" w:before="240" w:after="0"/>
        <w:ind w:hanging="180" w:start="900" w:end="0"/>
        <w:jc w:val="both"/>
        <w:rPr/>
      </w:pPr>
      <w:r>
        <w:rPr/>
        <w:t>(ii)</w:t>
        <w:tab/>
        <w:t>The following representation applies to Party B:</w:t>
      </w:r>
    </w:p>
    <w:p>
      <w:pPr>
        <w:pStyle w:val="Normal"/>
        <w:spacing w:lineRule="exact" w:line="240" w:before="240" w:after="0"/>
        <w:ind w:firstLine="540" w:start="900" w:end="0"/>
        <w:jc w:val="both"/>
        <w:rPr/>
      </w:pPr>
      <w:r>
        <w:rPr/>
        <w:t>Party B is a limited partnership organized under the law of the State of Delaware.</w:t>
      </w:r>
    </w:p>
    <w:p>
      <w:pPr>
        <w:pStyle w:val="Normal"/>
        <w:spacing w:lineRule="exact" w:line="240" w:before="240" w:after="0"/>
        <w:ind w:firstLine="540" w:start="900" w:end="0"/>
        <w:jc w:val="both"/>
        <w:rPr/>
      </w:pPr>
      <w:r>
        <w:rPr/>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Termination Events</w:t>
      </w:r>
      <w:r>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u w:val="single"/>
        </w:rPr>
      </w:pPr>
      <w:r>
        <w:rPr>
          <w:b/>
          <w:u w:val="single"/>
        </w:rPr>
      </w:r>
    </w:p>
    <w:p>
      <w:pPr>
        <w:pStyle w:val="Normal"/>
        <w:ind w:hanging="360" w:start="720" w:end="0"/>
        <w:jc w:val="both"/>
        <w:rPr/>
      </w:pPr>
      <w:r>
        <w:rPr/>
        <w:t>(i)</w:t>
        <w:tab/>
        <w:t>The following Additional Termination Events are added to Section 5(b)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3 to 1; or</w:t>
      </w:r>
    </w:p>
    <w:p>
      <w:pPr>
        <w:pStyle w:val="Normal"/>
        <w:spacing w:before="120" w:after="0"/>
        <w:ind w:firstLine="1530" w:start="-810" w:end="0"/>
        <w:jc w:val="both"/>
        <w:rPr>
          <w:szCs w:val="22"/>
        </w:rPr>
      </w:pPr>
      <w:r>
        <w:rPr>
          <w:szCs w:val="22"/>
        </w:rPr>
        <w:t>(xii)</w:t>
        <w:tab/>
        <w:t>if Counterparty’s Net Asset Value falls below U.S. $30,000,000; or</w:t>
      </w:r>
    </w:p>
    <w:p>
      <w:pPr>
        <w:pStyle w:val="Normal"/>
        <w:spacing w:before="120" w:after="0"/>
        <w:ind w:hanging="720" w:start="1440" w:end="0"/>
        <w:jc w:val="both"/>
        <w:rPr>
          <w:szCs w:val="22"/>
        </w:rPr>
      </w:pPr>
      <w:r>
        <w:rPr>
          <w:szCs w:val="22"/>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Cs w:val="22"/>
        </w:rPr>
      </w:pPr>
      <w:r>
        <w:rPr>
          <w:szCs w:val="22"/>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rPr>
        <w:t xml:space="preserve">; </w:t>
      </w:r>
      <w:r>
        <w:rPr/>
        <w:t xml:space="preserve">and with respect to Party B, U.S. $1,500,000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means</w:t>
      </w:r>
      <w:r>
        <w:rPr/>
        <w:t>, as of the relevant date of determination, an amount (expressed in U.S. Dollars) equal to the sum of Counterparty’s total assets minus Counterparty’s total liabilities</w:t>
      </w:r>
      <w:r>
        <w:rPr>
          <w:szCs w:val="22"/>
        </w:rPr>
        <w:t>.</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 and Performance Assurance</w:t>
      </w:r>
      <w:r>
        <w:rPr/>
        <w:t>.  On or before 5:00 p.m. (Houston time) on April __, 2001, Counterparty shall deliver to ENA Performance Assurance in the amount of $10,000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8">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$10,000 if there are any outstanding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pPr>
      <w:r>
        <w:rPr/>
        <w:tab/>
        <w:tab/>
      </w:r>
    </w:p>
    <w:p>
      <w:pPr>
        <w:pStyle w:val="Normal"/>
        <w:ind w:hanging="720" w:start="1440" w:end="0"/>
        <w:jc w:val="both"/>
        <w:rPr>
          <w:b/>
        </w:rPr>
      </w:pPr>
      <w:r>
        <w:rPr>
          <w:iCs/>
        </w:rPr>
        <w:t>(d)</w:t>
        <w:tab/>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left" w:pos="720" w:leader="none"/>
        </w:tabs>
        <w:ind w:hanging="1440" w:start="1440" w:end="0"/>
        <w:jc w:val="both"/>
        <w:rPr/>
      </w:pPr>
      <w:r>
        <w:rPr/>
        <w:tab/>
      </w:r>
    </w:p>
    <w:p>
      <w:pPr>
        <w:pStyle w:val="Normal"/>
        <w:tabs>
          <w:tab w:val="left" w:pos="720" w:leader="none"/>
        </w:tabs>
        <w:ind w:hanging="1440" w:start="1440" w:end="0"/>
        <w:jc w:val="both"/>
        <w:rPr/>
      </w:pPr>
      <w:r>
        <w:rPr/>
        <w:tab/>
        <w:t>(e)</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(f)</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(g)</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pPr>
      <w:r>
        <w:rPr/>
      </w:r>
    </w:p>
    <w:p>
      <w:pPr>
        <w:pStyle w:val="Normal"/>
        <w:ind w:hanging="720" w:start="1440" w:end="0"/>
        <w:jc w:val="both"/>
        <w:rPr/>
      </w:pPr>
      <w:r>
        <w:rPr/>
        <w:t>(j)</w:t>
        <w:tab/>
        <w:t>"</w:t>
      </w:r>
      <w:r>
        <w:rPr>
          <w:i/>
          <w:iCs/>
          <w:u w:val="single"/>
        </w:rPr>
        <w:t>Material Adverse Change</w:t>
      </w:r>
      <w:r>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pPr>
      <w:r>
        <w:rPr/>
      </w:r>
    </w:p>
    <w:p>
      <w:pPr>
        <w:pStyle w:val="Normal"/>
        <w:ind w:hanging="720" w:start="1440" w:end="0"/>
        <w:jc w:val="both"/>
        <w:rPr/>
      </w:pPr>
      <w:r>
        <w:rPr>
          <w:iCs/>
        </w:rPr>
        <w:t>(k)</w:t>
      </w:r>
      <w:r>
        <w:rPr>
          <w:i/>
        </w:rPr>
        <w:tab/>
        <w:t>"</w:t>
      </w:r>
      <w:r>
        <w:rPr>
          <w:i/>
          <w:u w:val="single"/>
        </w:rPr>
        <w:t>Moody's</w:t>
      </w:r>
      <w:r>
        <w:rPr>
          <w:i/>
        </w:rPr>
        <w:t>"</w:t>
      </w:r>
      <w:r>
        <w:rPr/>
        <w:t xml:space="preserve"> means Moody's Investors Service, Inc. or its successor.</w:t>
      </w:r>
    </w:p>
    <w:p>
      <w:pPr>
        <w:pStyle w:val="Normal"/>
        <w:jc w:val="both"/>
        <w:rPr/>
      </w:pPr>
      <w:r>
        <w:rPr/>
      </w:r>
    </w:p>
    <w:p>
      <w:pPr>
        <w:pStyle w:val="Normal"/>
        <w:ind w:hanging="720" w:start="1440" w:end="0"/>
        <w:jc w:val="both"/>
        <w:rPr/>
      </w:pPr>
      <w:r>
        <w:rPr/>
      </w:r>
    </w:p>
    <w:p>
      <w:pPr>
        <w:pStyle w:val="Normal"/>
        <w:ind w:hanging="720" w:start="1440" w:end="0"/>
        <w:jc w:val="both"/>
        <w:rPr/>
      </w:pPr>
      <w:r>
        <w:rPr/>
        <w:t>(l)</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iCs/>
        </w:rPr>
      </w:pPr>
      <w:r>
        <w:rPr>
          <w:iCs/>
        </w:rPr>
      </w:r>
    </w:p>
    <w:p>
      <w:pPr>
        <w:pStyle w:val="Normal"/>
        <w:tabs>
          <w:tab w:val="clear" w:pos="720"/>
          <w:tab w:val="left" w:pos="1440" w:leader="none"/>
        </w:tabs>
        <w:ind w:hanging="720" w:start="1440" w:end="0"/>
        <w:jc w:val="both"/>
        <w:rPr/>
      </w:pPr>
      <w:r>
        <w:rPr>
          <w:iCs/>
        </w:rPr>
        <w:t>(m)</w:t>
      </w:r>
      <w:r>
        <w:rPr>
          <w:i/>
        </w:rPr>
        <w:tab/>
        <w:t>“</w:t>
      </w:r>
      <w:r>
        <w:rPr>
          <w:i/>
          <w:u w:val="single"/>
        </w:rPr>
        <w:t>S&amp;P</w:t>
      </w:r>
      <w:r>
        <w:rPr>
          <w:i/>
        </w:rPr>
        <w:t>"</w:t>
      </w:r>
      <w:r>
        <w:rPr/>
        <w:t xml:space="preserve"> means the Standard &amp; Poor's Rating Group (a division of McGraw-Hill, Inc.) or its successor.</w:t>
      </w:r>
    </w:p>
    <w:p>
      <w:pPr>
        <w:pStyle w:val="Normal"/>
        <w:jc w:val="both"/>
        <w:rPr/>
      </w:pPr>
      <w:r>
        <w:rPr/>
      </w:r>
    </w:p>
    <w:p>
      <w:pPr>
        <w:pStyle w:val="Normal"/>
        <w:tabs>
          <w:tab w:val="left" w:pos="720" w:leader="none"/>
        </w:tabs>
        <w:ind w:hanging="720" w:start="1440" w:end="0"/>
        <w:jc w:val="both"/>
        <w:rPr/>
      </w:pPr>
      <w:r>
        <w:rPr/>
        <w:t xml:space="preserve"> </w:t>
      </w:r>
      <w:r>
        <w:rPr/>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(o)</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2"/>
          <w:szCs w:val="22"/>
        </w:rPr>
      </w:pPr>
      <w:r>
        <w:rPr>
          <w:sz w:val="22"/>
          <w:szCs w:val="22"/>
        </w:rPr>
      </w:r>
    </w:p>
    <w:p>
      <w:pPr>
        <w:pStyle w:val="Normal"/>
        <w:ind w:hanging="720" w:start="1440" w:end="0"/>
        <w:jc w:val="both"/>
        <w:rPr/>
      </w:pPr>
      <w:r>
        <w:rPr/>
        <w:t>(d)</w:t>
        <w:tab/>
        <w:t xml:space="preserve">ENA will be entitled to hold Performance Assurance; </w:t>
      </w:r>
      <w:r>
        <w:rPr>
          <w:u w:val="single"/>
        </w:rPr>
        <w:t>provided</w:t>
      </w:r>
      <w:r>
        <w:rPr/>
        <w:t xml:space="preserve"> </w:t>
      </w:r>
      <w:r>
        <w:rPr>
          <w:u w:val="single"/>
        </w:rPr>
        <w:t>that</w:t>
      </w:r>
      <w:r>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pPr>
      <w:r>
        <w:rPr/>
      </w:r>
    </w:p>
    <w:p>
      <w:pPr>
        <w:pStyle w:val="Normal"/>
        <w:ind w:hanging="720" w:start="1440" w:end="0"/>
        <w:jc w:val="both"/>
        <w:rPr/>
      </w:pPr>
      <w:r>
        <w:rPr/>
        <w:t>(e)</w:t>
        <w:tab/>
        <w:t xml:space="preserve">Counterparty will be entitled to hold Performance Assurance; </w:t>
      </w:r>
      <w:r>
        <w:rPr>
          <w:u w:val="single"/>
        </w:rPr>
        <w:t>provided</w:t>
      </w:r>
      <w:r>
        <w:rPr/>
        <w:t xml:space="preserve"> </w:t>
      </w:r>
      <w:r>
        <w:rPr>
          <w:u w:val="single"/>
        </w:rPr>
        <w:t>that</w:t>
      </w:r>
      <w:r>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BodyTextIndent"/>
        <w:spacing w:lineRule="auto" w:line="240"/>
        <w:ind w:start="1080" w:end="0"/>
        <w:rPr/>
      </w:pPr>
      <w:r>
        <w:rPr/>
      </w:r>
    </w:p>
    <w:p>
      <w:pPr>
        <w:pStyle w:val="Normal"/>
        <w:ind w:hanging="720" w:start="1440" w:end="0"/>
        <w:jc w:val="both"/>
        <w:rPr/>
      </w:pPr>
      <w:r>
        <w:rPr>
          <w:color w:val="0000FF"/>
          <w:szCs w:val="22"/>
        </w:rPr>
        <w:t>(f)</w:t>
        <w:tab/>
      </w:r>
      <w:r>
        <w:rPr/>
        <w:t xml:space="preserve">If a party is not eligible to hold Performance Assurance pursuant to this Section, then it shall be considered a “Downgraded Party” (as defined below) and Performance Assurance shall be maintained in accordance with the following provisions.   </w:t>
      </w:r>
      <w:r>
        <w:rPr>
          <w:szCs w:val="22"/>
        </w:rPr>
        <w:t xml:space="preserve">The provisions of Section 7(d) of this Annex will apply to the parties; </w:t>
      </w:r>
      <w:r>
        <w:rPr>
          <w:szCs w:val="22"/>
          <w:u w:val="single"/>
        </w:rPr>
        <w:t>provided</w:t>
      </w:r>
      <w:r>
        <w:rPr>
          <w:szCs w:val="22"/>
        </w:rPr>
        <w:t xml:space="preserve">, </w:t>
      </w:r>
      <w:r>
        <w:rPr>
          <w:szCs w:val="22"/>
          <w:u w:val="single"/>
        </w:rPr>
        <w:t>however</w:t>
      </w:r>
      <w:r>
        <w:rPr>
          <w:szCs w:val="22"/>
        </w:rPr>
        <w:t xml:space="preserve">, that if a party is not eligible to hold Performance Assurance pursuant to Section 3(d) or (e) of this Annex (the event that caused it to be ineligible to hold Performance Assurance shall be a </w:t>
      </w:r>
      <w:r>
        <w:rPr>
          <w:bCs/>
          <w:szCs w:val="22"/>
        </w:rPr>
        <w:t>“Credit Rating Event” and</w:t>
      </w:r>
      <w:r>
        <w:rPr>
          <w:szCs w:val="22"/>
        </w:rPr>
        <w:t xml:space="preserve"> such party</w:t>
      </w:r>
      <w:r>
        <w:rPr>
          <w:color w:val="FF0000"/>
          <w:szCs w:val="22"/>
        </w:rPr>
        <w:t xml:space="preserve"> </w:t>
      </w:r>
      <w:r>
        <w:rPr>
          <w:szCs w:val="22"/>
        </w:rPr>
        <w:t>shall be the “Downgraded Party”), then:</w:t>
      </w:r>
    </w:p>
    <w:p>
      <w:pPr>
        <w:pStyle w:val="Normal"/>
        <w:ind w:hanging="720" w:start="2160" w:end="0"/>
        <w:jc w:val="both"/>
        <w:rPr>
          <w:szCs w:val="22"/>
        </w:rPr>
      </w:pPr>
      <w:r>
        <w:rPr>
          <w:szCs w:val="22"/>
        </w:rPr>
      </w:r>
    </w:p>
    <w:p>
      <w:pPr>
        <w:pStyle w:val="Normal"/>
        <w:ind w:start="1440" w:end="0"/>
        <w:jc w:val="both"/>
        <w:rPr>
          <w:szCs w:val="22"/>
        </w:rPr>
      </w:pPr>
      <w:r>
        <w:rPr>
          <w:szCs w:val="22"/>
        </w:rPr>
        <w:t>(1)  the provisions of Section 7(d) of this Annex will not apply with respect to the Downgraded Party as the Secured Party (as defined below) for so long as it remains a Downgraded Party.</w:t>
      </w:r>
    </w:p>
    <w:p>
      <w:pPr>
        <w:pStyle w:val="Normal"/>
        <w:ind w:start="1440" w:end="0"/>
        <w:jc w:val="both"/>
        <w:rPr>
          <w:szCs w:val="22"/>
        </w:rPr>
      </w:pPr>
      <w:r>
        <w:rPr>
          <w:szCs w:val="22"/>
        </w:rPr>
      </w:r>
    </w:p>
    <w:p>
      <w:pPr>
        <w:pStyle w:val="Normal"/>
        <w:ind w:start="1440" w:end="0"/>
        <w:jc w:val="both"/>
        <w:rPr/>
      </w:pPr>
      <w:r>
        <w:rPr>
          <w:szCs w:val="22"/>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w:t>
      </w:r>
      <w:r>
        <w:rPr>
          <w:bCs/>
          <w:szCs w:val="22"/>
        </w:rPr>
        <w:t>“Qualified Institution”</w:t>
      </w:r>
      <w:r>
        <w:rPr>
          <w:szCs w:val="22"/>
        </w:rPr>
        <w:t>), approved by the non-Downgraded Party (which approval shall not be unreasonably withheld) to a segregated, safekeeping or custody account (</w:t>
      </w:r>
      <w:r>
        <w:rPr>
          <w:bCs/>
          <w:szCs w:val="22"/>
        </w:rPr>
        <w:t>“Collateral Account”</w:t>
      </w:r>
      <w:r>
        <w:rPr>
          <w:szCs w:val="22"/>
        </w:rPr>
        <w: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Cs w:val="22"/>
        </w:rPr>
      </w:pPr>
      <w:r>
        <w:rPr>
          <w:szCs w:val="22"/>
        </w:rPr>
      </w:r>
    </w:p>
    <w:p>
      <w:pPr>
        <w:pStyle w:val="Normal"/>
        <w:ind w:start="1440" w:end="0"/>
        <w:jc w:val="both"/>
        <w:rPr/>
      </w:pPr>
      <w:r>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pPr>
      <w:r>
        <w:rPr/>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April __,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szCs w:val="22"/>
        </w:rPr>
      </w:pPr>
      <w:r>
        <w:rPr>
          <w:szCs w:val="22"/>
        </w:rPr>
        <w:t xml:space="preserve">WHEREAS, AIG COMMODITY ARBITRAGE FUND L.P., a Delaware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$5,000,000.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AIG Commodity Arbitrage Fund L.P.</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17"/>
      <w:headerReference w:type="first" r:id="rId18"/>
      <w:footerReference w:type="default" r:id="rId19"/>
      <w:footerReference w:type="first" r:id="rId20"/>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/mnt/main-storage/datasets/enron-docs/doc/AIG_Confirm_Onshore.doc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/mnt/main-storage/datasets/enron-docs/doc/AIG_Confirm_Onshore.doc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/mnt/main-storage/datasets/enron-docs/doc/AIG_Confirm_Onshore.doc</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/mnt/main-storage/datasets/enron-docs/doc/AIG_Confirm_Onshore.doc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/mnt/main-storage/datasets/enron-docs/doc/AIG_Confirm_Onshore.doc</w:t>
    </w:r>
    <w:r>
      <w:rPr>
        <w:sz w:val="1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spacing w:lineRule="exact" w:line="240" w:before="240" w:after="0"/>
      <w:jc w:val="both"/>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b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enron.com/"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2001-04-17T18:06:00Z</dcterms:created>
  <dc:creator>mheard</dc:creator>
  <dc:description/>
  <dc:language>en-CA</dc:language>
  <cp:lastModifiedBy>cstclai</cp:lastModifiedBy>
  <cp:lastPrinted>2001-04-17T16:38:00Z</cp:lastPrinted>
  <dcterms:modified xsi:type="dcterms:W3CDTF">2001-04-17T19:08:00Z</dcterms:modified>
  <cp:revision>5</cp:revision>
  <dc:subject/>
  <dc:title>“DEEMED ISDA” CONFIRMATION</dc:title>
</cp:coreProperties>
</file>