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Memorandum</w:t>
      </w:r>
    </w:p>
    <w:p>
      <w:pPr>
        <w:pStyle w:val="Normal"/>
        <w:rPr>
          <w:sz w:val="20"/>
        </w:rPr>
      </w:pPr>
      <w:r>
        <w:rPr>
          <w:sz w:val="20"/>
        </w:rPr>
      </w:r>
    </w:p>
    <w:p>
      <w:pPr>
        <w:pStyle w:val="Normal"/>
        <w:rPr>
          <w:sz w:val="20"/>
        </w:rPr>
      </w:pPr>
      <w:r>
        <w:rPr>
          <w:sz w:val="20"/>
        </w:rPr>
        <w:t>To:</w:t>
        <w:tab/>
        <w:tab/>
        <w:t xml:space="preserve">John LeVerage, CEO-elect </w:t>
      </w:r>
    </w:p>
    <w:p>
      <w:pPr>
        <w:pStyle w:val="Normal"/>
        <w:rPr>
          <w:sz w:val="20"/>
        </w:rPr>
      </w:pPr>
      <w:r>
        <w:rPr>
          <w:sz w:val="20"/>
        </w:rPr>
      </w:r>
    </w:p>
    <w:p>
      <w:pPr>
        <w:pStyle w:val="BodyTextIndent"/>
        <w:rPr>
          <w:sz w:val="20"/>
        </w:rPr>
      </w:pPr>
      <w:r>
        <w:rPr>
          <w:sz w:val="20"/>
        </w:rPr>
        <w:t>From:</w:t>
        <w:tab/>
        <w:t>Capital Structure Team (Jeff Dasovich, Mark Guinney, James Jackson, Dylan Wyndam)</w:t>
      </w:r>
    </w:p>
    <w:p>
      <w:pPr>
        <w:pStyle w:val="BodyTextIndent"/>
        <w:rPr>
          <w:sz w:val="20"/>
        </w:rPr>
      </w:pPr>
      <w:r>
        <w:rPr>
          <w:sz w:val="20"/>
        </w:rPr>
      </w:r>
    </w:p>
    <w:p>
      <w:pPr>
        <w:pStyle w:val="BodyTextIndent"/>
        <w:rPr>
          <w:sz w:val="20"/>
        </w:rPr>
      </w:pPr>
      <w:r>
        <w:rPr>
          <w:sz w:val="20"/>
        </w:rPr>
        <w:t>Date:</w:t>
        <w:tab/>
        <w:t>February 19, 2001</w:t>
      </w:r>
    </w:p>
    <w:p>
      <w:pPr>
        <w:pStyle w:val="BodyTextIndent"/>
        <w:rPr>
          <w:sz w:val="20"/>
        </w:rPr>
      </w:pPr>
      <w:r>
        <w:rPr>
          <w:sz w:val="20"/>
        </w:rPr>
      </w:r>
    </w:p>
    <w:p>
      <w:pPr>
        <w:pStyle w:val="BodyTextIndent"/>
        <w:rPr>
          <w:sz w:val="20"/>
        </w:rPr>
      </w:pPr>
      <w:r>
        <w:rPr>
          <w:sz w:val="20"/>
        </w:rPr>
        <w:t>Re:</w:t>
        <w:tab/>
        <w:t>Capital Structure Policy in Wake of Recent Retirement of Mr. LaPorte</w:t>
      </w:r>
    </w:p>
    <w:p>
      <w:pPr>
        <w:pStyle w:val="BodyTextIndent"/>
        <w:pBdr>
          <w:top w:val="single" w:sz="4" w:space="1" w:color="000000"/>
        </w:pBdr>
        <w:rPr>
          <w:sz w:val="20"/>
        </w:rPr>
      </w:pPr>
      <w:r>
        <w:rPr>
          <w:b/>
          <w:bCs/>
          <w:i/>
          <w:iCs/>
          <w:sz w:val="20"/>
        </w:rPr>
        <w:t>Summary and Recommendation</w:t>
      </w:r>
    </w:p>
    <w:p>
      <w:pPr>
        <w:pStyle w:val="BodyTextIndent"/>
        <w:pBdr>
          <w:top w:val="single" w:sz="4" w:space="1" w:color="000000"/>
        </w:pBdr>
        <w:ind w:firstLine="720" w:start="0" w:end="0"/>
        <w:rPr>
          <w:sz w:val="20"/>
        </w:rPr>
      </w:pPr>
      <w:r>
        <w:rPr>
          <w:sz w:val="20"/>
        </w:rPr>
        <w:t>At your direction, the capital structure team has reviewed the company’s capital structure policy and recommends that the company modify its policy.  Based on our analysis, the team concludes that company should shift from its historical “zero debt” policy to one that takes advantage of leverage.  Specifically, the team recommends that the company adopt a debt-to-total-capital ratio of 50 percent.  Our analysis shows that, if the company had adopted our recommended capital structure in 1981, the company could have increased shareholders return on equity from 31.8% to 41.3%, and increased earnings per share of $3.18 to $3.41.  (See Exhibit X) We believe that the market may push the share price somewhat higher in recognition of the commitment to discipline that management is signaling by assuming the level of debt recommended.</w:t>
      </w:r>
    </w:p>
    <w:p>
      <w:pPr>
        <w:pStyle w:val="BodyTextIndent"/>
        <w:pBdr>
          <w:top w:val="single" w:sz="4" w:space="1" w:color="000000"/>
        </w:pBdr>
        <w:ind w:firstLine="720" w:start="0" w:end="0"/>
        <w:rPr>
          <w:sz w:val="20"/>
        </w:rPr>
      </w:pPr>
      <w:r>
        <w:rPr>
          <w:sz w:val="20"/>
        </w:rPr>
        <w:t>In reaching our conclusion, we examined Warner Lambert’s capital structure and cash position.  Based on that comparison, we recommend that the company achieve the recommended capital structure by using its cash reserves and issuing long-term debt in order to buy back common shares on the open market.</w:t>
      </w:r>
    </w:p>
    <w:p>
      <w:pPr>
        <w:pStyle w:val="BodyTextIndent"/>
        <w:pBdr>
          <w:top w:val="single" w:sz="4" w:space="1" w:color="000000"/>
        </w:pBdr>
        <w:ind w:firstLine="720" w:start="0" w:end="0"/>
        <w:rPr>
          <w:sz w:val="20"/>
        </w:rPr>
      </w:pPr>
      <w:r>
        <w:rPr>
          <w:sz w:val="20"/>
        </w:rPr>
        <w:t>We conclude that the company’s competitive position and continued strong financial performance can support this level of debt.  However, bondholders are likely to demand covenants, which may require the company to re-examine and adjust downward its dividend payout ratio.  But given the increase in share value that leverage would create, shareholders are likely to be more willing to accept a lower payout ratio.</w:t>
      </w:r>
    </w:p>
    <w:p>
      <w:pPr>
        <w:pStyle w:val="BodyTextIndent"/>
        <w:pBdr>
          <w:top w:val="single" w:sz="4" w:space="1" w:color="000000"/>
        </w:pBdr>
        <w:ind w:hanging="0" w:start="0" w:end="0"/>
        <w:rPr>
          <w:sz w:val="20"/>
        </w:rPr>
      </w:pPr>
      <w:r>
        <w:rPr>
          <w:b/>
          <w:bCs/>
          <w:i/>
          <w:iCs/>
          <w:sz w:val="20"/>
        </w:rPr>
        <w:t>Background and Analysis</w:t>
      </w:r>
    </w:p>
    <w:p>
      <w:pPr>
        <w:pStyle w:val="BodyTextIndent"/>
        <w:pBdr>
          <w:top w:val="single" w:sz="4" w:space="1" w:color="000000"/>
        </w:pBdr>
        <w:ind w:firstLine="720" w:start="0" w:end="0"/>
        <w:rPr>
          <w:i/>
          <w:i/>
          <w:iCs/>
          <w:sz w:val="20"/>
        </w:rPr>
      </w:pPr>
      <w:r>
        <w:rPr>
          <w:i/>
          <w:iCs/>
          <w:sz w:val="20"/>
        </w:rPr>
        <w:t>Competitive position</w:t>
      </w:r>
    </w:p>
    <w:p>
      <w:pPr>
        <w:pStyle w:val="BodyTextIndent"/>
        <w:pBdr>
          <w:top w:val="single" w:sz="4" w:space="1" w:color="000000"/>
        </w:pBdr>
        <w:ind w:firstLine="720" w:start="0" w:end="0"/>
        <w:rPr>
          <w:sz w:val="20"/>
        </w:rPr>
      </w:pPr>
      <w:r>
        <w:rPr>
          <w:sz w:val="20"/>
        </w:rPr>
        <w:t>With the departure of Mr. LaPorte you asked to analyze the effect on the company’s share price might be if the company were to change its capital structure policy and assume considerably more debt than the company has assumed traditionally.  One of your chief concerns is the effect on the company’s financial flexibility, particularly in the event of increased competitive pressures.</w:t>
      </w:r>
    </w:p>
    <w:p>
      <w:pPr>
        <w:pStyle w:val="BodyTextIndent"/>
        <w:pBdr>
          <w:top w:val="single" w:sz="4" w:space="1" w:color="000000"/>
        </w:pBdr>
        <w:ind w:hanging="0" w:start="0" w:end="0"/>
        <w:rPr>
          <w:sz w:val="20"/>
        </w:rPr>
      </w:pPr>
      <w:r>
        <w:rPr>
          <w:sz w:val="20"/>
        </w:rPr>
        <w:tab/>
        <w:t>Our analysis concludes that the company’s competitive position remains strong enough to support the recommended capital structure.  It is true that the company’s sales growth of 8.8% in 1981 dipped below our 5-year CAGR of 11.0%, and also fell below Warner’s 5-year CAGR of 9.9%.  However, the company’s performance nonetheless continues to outperform Lambert by a wide margin.  The company’s 5-year CAGR with respect to net earnings and earnings per share have significantly outpaced Warner-Lambert.  The same is true when comparing the company’s profit margin and return on equity, as well as accounts receivables, inventory and asset turnover ratios.</w:t>
      </w:r>
    </w:p>
    <w:p>
      <w:pPr>
        <w:pStyle w:val="BodyTextIndent"/>
        <w:pBdr>
          <w:top w:val="single" w:sz="4" w:space="1" w:color="000000"/>
        </w:pBdr>
        <w:ind w:hanging="0" w:start="0" w:end="0"/>
        <w:rPr>
          <w:sz w:val="20"/>
        </w:rPr>
      </w:pPr>
      <w:r>
        <w:rPr>
          <w:sz w:val="20"/>
        </w:rPr>
        <w:tab/>
        <w:t>Additionally, AHP sells and markets consumer products including prescription drugs, packaged drugs, food products and household products.  These are all industries that have very consistent and relatively predictable growth and are relatively insulated from economic cycles, i.e. drugs and food products tend to be non-discretionary items and the last that consumers give up during economic downturns.  AHP’s current business plan does not require it to make large capital expenditures in R&amp;D before a product is marketable.  By relying on purchasing patents and research as well as extending current products, AHP leverages its competence in marketing and distribution methods.</w:t>
      </w:r>
    </w:p>
    <w:p>
      <w:pPr>
        <w:pStyle w:val="Heading2"/>
        <w:ind w:hanging="0" w:start="0"/>
        <w:rPr>
          <w:sz w:val="20"/>
        </w:rPr>
      </w:pPr>
      <w:r>
        <w:rPr>
          <w:sz w:val="20"/>
        </w:rPr>
        <w:tab/>
        <w:t>The Pros and Cons of Leverage</w:t>
      </w:r>
    </w:p>
    <w:p>
      <w:pPr>
        <w:pStyle w:val="BodyTextIndent2"/>
        <w:rPr>
          <w:sz w:val="20"/>
        </w:rPr>
      </w:pPr>
      <w:r>
        <w:rPr>
          <w:sz w:val="20"/>
        </w:rPr>
        <w:t xml:space="preserve">For the purposes of our analysis, we define financial risk as the ratio of debt to equity. According to our pro forma statements, the D-E ratio would rise from 0.5% absent re-capitalization to 233% if the company pursued a level of debt equal to 70% of total capital.  Correspondingly, interest coverage ratio would range from 415 to 7.5 for the same range of debt level.  However, based on our comparison of Warner’s interest coverage ratio, debt/total capital ratio, and ROE we conclude that the company could theoretically sustain a rating of AAA/AA, since the company’s financial performance exceeds Warner’s.  </w:t>
      </w:r>
    </w:p>
    <w:p>
      <w:pPr>
        <w:pStyle w:val="BodyTextIndent2"/>
        <w:rPr>
          <w:sz w:val="20"/>
        </w:rPr>
      </w:pPr>
      <w:r>
        <w:rPr>
          <w:sz w:val="20"/>
        </w:rPr>
        <w:t>Moreover, the company’s business plan will not change due to a change in capital structure.  The company’s policy of returning a significant amount of net income to its shareholders in the form of dividends can effectively as interest paid on net worth.  Taking this approach to the analysis, in 1981 AHP paid 20.0% of its net worth to its shareholders.  Even if bond rating fell to AA, the company would maintain a high level of access to capital markets at rates lower than it currently charges itself for equity capital.</w:t>
      </w:r>
    </w:p>
    <w:p>
      <w:pPr>
        <w:pStyle w:val="Normal"/>
        <w:ind w:firstLine="720" w:end="0"/>
        <w:rPr>
          <w:sz w:val="20"/>
        </w:rPr>
      </w:pPr>
      <w:r>
        <w:rPr>
          <w:sz w:val="20"/>
        </w:rPr>
        <w:t>The advantages to such a financial capital structure is that the return on equity increases from 31.8% to 37.6% and the earnings per share to the equity holder rise 7.2% from $3.18 to $3.41.  While we are not in the position to calculate a discounted cash flow or dividend stream, we can estimate the stock price by applying the same P/E ratio of 1980 to the EOY 1981 under the varying scenarios.  At the 50% debt level, the stock price would gain by 7.2% more than if AHP maintained their current capital structure.  This analysis gives us the upper limit on the growth of the stock price.  Since the stock will become increasingly risky as AHP acquires additional debt,  investors may not be willing to apply the same PE ratio.  Under our recommendations, AHP will move closer to Warner’s debt structure.  By applying Warner’s PE ratio to AHP’s 1981 EPS, it would predict a stock price of $23.57.  This price can be treated as a lower limited, since debt ratio is not the only factor that effect the PE ratio.  In the past, the market has rewarded AHP’s strengths with higher than industry average PE ratios.</w:t>
      </w:r>
    </w:p>
    <w:p>
      <w:pPr>
        <w:pStyle w:val="BodyText"/>
        <w:ind w:firstLine="720" w:end="0"/>
        <w:rPr>
          <w:sz w:val="20"/>
        </w:rPr>
      </w:pPr>
      <w:r>
        <w:rPr>
          <w:sz w:val="20"/>
        </w:rPr>
        <w:t>Under simple Modigliani-Miller assumptions, the capital structure should not affect the value of the company.  When one factors in the tax benefits of using debt (tax deductibility of interest), than the use of leverage becomes apparent.   An illustration of this is a review of the Dupont ROE formula.  In shifting to a 50% debt/total capital position, the profit margin declines from 12.0% to 10.5% due to the loss of interest income, rise in interest payments from $2.3m to $87.8m, and the decrease of taxes by approximately $55m.  Asset turnover is unchanged since neither sales nor total assets have been changed.  However, the decline in the shareholder equity base causes an increase in the financial leverage ratio from 1.59x to 2.15x.  This more than compensates for the decline in profit margin.  The net result is that shareholders return on equity rises from 31.8% to 37.6%.   As long as the market does not view the change in capital structure and use of debt to be an indicator of significant increase of company risk, than we would expect that shareholders are better off with the levered position.  This return on equity can be seen as two competing forces.  The first is the addition of funds available for debt and equity holders that will no longer be paid to the government in taxes.  The second effect is the increased riskiness of the stock.  This increased risk will have to carry additional return for investors to continue to hold the stock.</w:t>
      </w:r>
    </w:p>
    <w:p>
      <w:pPr>
        <w:pStyle w:val="BodyTextIndent"/>
        <w:ind w:hanging="0" w:start="0" w:end="0"/>
        <w:rPr>
          <w:sz w:val="20"/>
        </w:rPr>
      </w:pPr>
      <w:r>
        <w:rPr>
          <w:i/>
          <w:iCs/>
          <w:sz w:val="20"/>
        </w:rPr>
        <w:tab/>
        <w:t>Alternatives to the Recommended Approach to Modifying the Company’s Capital Structure</w:t>
      </w:r>
    </w:p>
    <w:p>
      <w:pPr>
        <w:pStyle w:val="BodyText"/>
        <w:rPr>
          <w:sz w:val="20"/>
        </w:rPr>
      </w:pPr>
      <w:r>
        <w:rPr>
          <w:sz w:val="20"/>
        </w:rPr>
        <w:t xml:space="preserve">Another alternative to issuing bonds to purchase equity would be to use operating cash flow to repurchase shares instead of dividends to shareholders.  This approach would require time for AHP to implement.  Under our recommendation to pursue the 50% debt scenario, it would take AHP 1.9 years of reinvesting all net income (1981 $445m) to repurchases to obtain the $845.9m in stock to complete the transition.  After deducting consistent dividends of $295.7m a year, the plan would take AHP 3.4 years to complete.  Since AHP has several large institutional investors interested in guaranteed dividend, it may be able to restructure its equity to trade common shares for preferred.  Preferred stocks act more as debt with their consistent dividends.  This way AHP could effectively complete a portion of the restructuring with one transaction.  </w:t>
      </w:r>
    </w:p>
    <w:p>
      <w:pPr>
        <w:pStyle w:val="BodyTextIndent"/>
        <w:ind w:hanging="0" w:start="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i/>
      <w:i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2001-02-19T23:14:00Z</dcterms:created>
  <dc:creator>jdasovic</dc:creator>
  <dc:description/>
  <dc:language>en-CA</dc:language>
  <cp:lastModifiedBy>jdasovic</cp:lastModifiedBy>
  <dcterms:modified xsi:type="dcterms:W3CDTF">2001-02-21T03:33:00Z</dcterms:modified>
  <cp:revision>6</cp:revision>
  <dc:subject/>
  <dc:title>MEMORANDUM</dc:title>
</cp:coreProperties>
</file>