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2000 EISENHOWER EXCHANGE FELLOW</w:t>
      </w:r>
    </w:p>
    <w:p>
      <w:pPr>
        <w:pStyle w:val="Normal"/>
        <w:jc w:val="center"/>
        <w:rPr>
          <w:rFonts w:ascii="Times New Roman" w:hAnsi="Times New Roman" w:cs="Times New Roman"/>
          <w:b/>
        </w:rPr>
      </w:pPr>
      <w:r>
        <w:rPr>
          <w:rFonts w:cs="Times New Roman" w:ascii="Times New Roman" w:hAnsi="Times New Roman"/>
          <w:b/>
        </w:rPr>
        <w:t>INDIA</w:t>
      </w:r>
    </w:p>
    <w:p>
      <w:pPr>
        <w:pStyle w:val="Heading7"/>
        <w:ind w:hanging="0" w:start="0"/>
        <w:rPr>
          <w:rFonts w:ascii="Times New Roman" w:hAnsi="Times New Roman" w:cs="Times New Roman"/>
          <w:b w:val="false"/>
          <w:sz w:val="24"/>
        </w:rPr>
      </w:pPr>
      <w:r>
        <w:rPr>
          <w:rFonts w:cs="Times New Roman"/>
          <w:b w:val="false"/>
          <w:sz w:val="24"/>
        </w:rPr>
      </w:r>
    </w:p>
    <w:p>
      <w:pPr>
        <w:pStyle w:val="Heading7"/>
        <w:ind w:hanging="0" w:start="0"/>
        <w:rPr>
          <w:sz w:val="24"/>
        </w:rPr>
      </w:pPr>
      <w:r>
        <w:rPr>
          <w:sz w:val="24"/>
        </w:rPr>
        <w:t>Mr. Sanjeev Ahluwalia</w:t>
        <w:tab/>
        <w:tab/>
        <w:tab/>
        <w:tab/>
        <w:tab/>
        <w:tab/>
        <w:t>Age:</w:t>
        <w:tab/>
        <w:t>46</w:t>
      </w:r>
    </w:p>
    <w:p>
      <w:pPr>
        <w:pStyle w:val="Heading3"/>
        <w:ind w:hanging="0" w:start="0"/>
        <w:rPr/>
      </w:pPr>
      <w:r>
        <w:rPr/>
        <w:t>Central Electricity Regulatory Commission</w:t>
        <w:tab/>
        <w:tab/>
        <w:tab/>
        <w:t>English: Excellent</w:t>
      </w:r>
    </w:p>
    <w:p>
      <w:pPr>
        <w:pStyle w:val="Normal"/>
        <w:rPr/>
      </w:pPr>
      <w:r>
        <w:rPr>
          <w:rFonts w:cs="Times New Roman" w:ascii="Times New Roman" w:hAnsi="Times New Roman"/>
          <w:b/>
        </w:rPr>
        <w:t>5</w:t>
      </w:r>
      <w:r>
        <w:rPr>
          <w:rFonts w:cs="Times New Roman" w:ascii="Times New Roman" w:hAnsi="Times New Roman"/>
          <w:b/>
          <w:vertAlign w:val="superscript"/>
        </w:rPr>
        <w:t>th</w:t>
      </w:r>
      <w:r>
        <w:rPr>
          <w:rFonts w:cs="Times New Roman" w:ascii="Times New Roman" w:hAnsi="Times New Roman"/>
          <w:b/>
        </w:rPr>
        <w:t xml:space="preserve"> Floor, Core-3, Scope Complex</w:t>
      </w:r>
    </w:p>
    <w:p>
      <w:pPr>
        <w:pStyle w:val="Heading7"/>
        <w:ind w:hanging="0" w:start="0"/>
        <w:rPr>
          <w:sz w:val="24"/>
        </w:rPr>
      </w:pPr>
      <w:r>
        <w:rPr>
          <w:sz w:val="24"/>
        </w:rPr>
        <w:t>7 Institutional Area, Lodi Road</w:t>
      </w:r>
    </w:p>
    <w:p>
      <w:pPr>
        <w:pStyle w:val="Normal"/>
        <w:rPr>
          <w:rFonts w:ascii="Times New Roman" w:hAnsi="Times New Roman" w:cs="Times New Roman"/>
          <w:b/>
        </w:rPr>
      </w:pPr>
      <w:r>
        <w:rPr>
          <w:rFonts w:cs="Times New Roman" w:ascii="Times New Roman" w:hAnsi="Times New Roman"/>
          <w:b/>
        </w:rPr>
        <w:t>New Delhi 110 003, INDIA</w:t>
      </w:r>
      <w:r>
        <w:rPr>
          <w:rFonts w:cs="Times New Roman" w:ascii="Times New Roman" w:hAnsi="Times New Roman"/>
        </w:rPr>
        <w:tab/>
        <w:tab/>
        <w:tab/>
        <w:tab/>
        <w:tab/>
        <w:tab/>
      </w:r>
    </w:p>
    <w:p>
      <w:pPr>
        <w:pStyle w:val="Heading3"/>
        <w:pBdr>
          <w:top w:val="thinThickSmallGap" w:sz="24" w:space="1" w:color="000000"/>
        </w:pBdr>
        <w:ind w:hanging="0" w:start="0"/>
        <w:rPr>
          <w:i/>
          <w:i/>
        </w:rPr>
      </w:pPr>
      <w:r>
        <w:rPr>
          <w:i/>
        </w:rPr>
        <w:t xml:space="preserve">As Secretary of India’s Central Electricity Regulatory Commission, Mr. Ahluwalia is the Principal Officer of the Commission.  He has primary responsibility for supervising staff and implementing Commission directives, public information and disclosure policies.  He also collaborates with other regulatory bodies in the areas of tariff policy, competition and consumer rights.  The Central Electricity Regulatory Commission regulates all interstate transmission of electricity and advises the federal government on energy policy formulation. </w:t>
      </w:r>
    </w:p>
    <w:p>
      <w:pPr>
        <w:pStyle w:val="BodyText"/>
        <w:pBdr>
          <w:top w:val="nil"/>
        </w:pBdr>
        <w:rPr>
          <w:b/>
          <w:i/>
          <w:i/>
        </w:rPr>
      </w:pPr>
      <w:r>
        <w:rPr>
          <w:b/>
          <w:i/>
        </w:rPr>
      </w:r>
    </w:p>
    <w:p>
      <w:pPr>
        <w:pStyle w:val="Normal"/>
        <w:jc w:val="both"/>
        <w:rPr/>
      </w:pPr>
      <w:r>
        <w:rPr>
          <w:rFonts w:cs="Times New Roman" w:ascii="Times New Roman" w:hAnsi="Times New Roman"/>
          <w:b/>
        </w:rPr>
        <w:t xml:space="preserve">Present Position:         </w:t>
        <w:tab/>
      </w:r>
      <w:r>
        <w:rPr>
          <w:rFonts w:cs="Times New Roman" w:ascii="Times New Roman" w:hAnsi="Times New Roman"/>
          <w:i/>
        </w:rPr>
        <w:t>Secretary</w:t>
      </w:r>
    </w:p>
    <w:p>
      <w:pPr>
        <w:pStyle w:val="Normal"/>
        <w:jc w:val="both"/>
        <w:rPr>
          <w:rFonts w:ascii="Times New Roman" w:hAnsi="Times New Roman" w:cs="Times New Roman"/>
        </w:rPr>
      </w:pPr>
      <w:r>
        <w:rPr>
          <w:rFonts w:cs="Times New Roman" w:ascii="Times New Roman" w:hAnsi="Times New Roman"/>
        </w:rPr>
        <w:tab/>
        <w:tab/>
        <w:t xml:space="preserve">              </w:t>
        <w:tab/>
        <w:t>Central Electricity Regulatory Commission</w:t>
      </w:r>
    </w:p>
    <w:p>
      <w:pPr>
        <w:pStyle w:val="Normal"/>
        <w:jc w:val="both"/>
        <w:rPr>
          <w:rFonts w:ascii="Times New Roman" w:hAnsi="Times New Roman" w:cs="Times New Roman"/>
        </w:rPr>
      </w:pPr>
      <w:r>
        <w:rPr>
          <w:rFonts w:cs="Times New Roman" w:ascii="Times New Roman" w:hAnsi="Times New Roman"/>
        </w:rPr>
      </w:r>
    </w:p>
    <w:p>
      <w:pPr>
        <w:pStyle w:val="Normal"/>
        <w:ind w:hanging="2880" w:start="2880" w:end="0"/>
        <w:jc w:val="both"/>
        <w:rPr/>
      </w:pPr>
      <w:r>
        <w:rPr>
          <w:rFonts w:cs="Times New Roman" w:ascii="Times New Roman" w:hAnsi="Times New Roman"/>
          <w:b/>
        </w:rPr>
        <w:t>Selected Publications:</w:t>
        <w:tab/>
        <w:t>“</w:t>
      </w:r>
      <w:r>
        <w:rPr>
          <w:rFonts w:cs="Times New Roman" w:ascii="Times New Roman" w:hAnsi="Times New Roman"/>
        </w:rPr>
        <w:t xml:space="preserve">Power Sharing with Neighbours; The Political Economy of Power Trade in South Asia”,  October 1997, </w:t>
      </w:r>
      <w:r>
        <w:rPr>
          <w:rFonts w:cs="Times New Roman" w:ascii="Times New Roman" w:hAnsi="Times New Roman"/>
          <w:i/>
        </w:rPr>
        <w:t xml:space="preserve">Business Standard, </w:t>
      </w:r>
      <w:r>
        <w:rPr>
          <w:rFonts w:cs="Times New Roman" w:ascii="Times New Roman" w:hAnsi="Times New Roman"/>
        </w:rPr>
        <w:t>India</w:t>
      </w:r>
    </w:p>
    <w:p>
      <w:pPr>
        <w:pStyle w:val="Normal"/>
        <w:ind w:start="2880" w:end="0"/>
        <w:jc w:val="both"/>
        <w:rPr/>
      </w:pPr>
      <w:r>
        <w:rPr>
          <w:rFonts w:cs="Times New Roman" w:ascii="Times New Roman" w:hAnsi="Times New Roman"/>
        </w:rPr>
        <w:t>“</w:t>
      </w:r>
      <w:r>
        <w:rPr>
          <w:rFonts w:cs="Times New Roman" w:ascii="Times New Roman" w:hAnsi="Times New Roman"/>
        </w:rPr>
        <w:t xml:space="preserve">Regulatory Overview of the Power Sector”, </w:t>
      </w:r>
      <w:r>
        <w:rPr>
          <w:rFonts w:cs="Times New Roman" w:ascii="Times New Roman" w:hAnsi="Times New Roman"/>
          <w:i/>
        </w:rPr>
        <w:t>Utility Regulation 1997, Center for the Study of Regulated Industries,</w:t>
      </w:r>
      <w:r>
        <w:rPr>
          <w:rFonts w:cs="Times New Roman" w:ascii="Times New Roman" w:hAnsi="Times New Roman"/>
        </w:rPr>
        <w:t xml:space="preserve"> London</w:t>
      </w:r>
    </w:p>
    <w:p>
      <w:pPr>
        <w:pStyle w:val="Normal"/>
        <w:jc w:val="both"/>
        <w:rPr>
          <w:rFonts w:ascii="Times New Roman" w:hAnsi="Times New Roman" w:cs="Times New Roman"/>
        </w:rPr>
      </w:pPr>
      <w:r>
        <w:rPr>
          <w:rFonts w:cs="Times New Roman" w:ascii="Times New Roman" w:hAnsi="Times New Roman"/>
        </w:rPr>
        <w:tab/>
        <w:tab/>
        <w:tab/>
      </w:r>
      <w:r>
        <w:rPr>
          <w:rFonts w:cs="Times New Roman" w:ascii="Times New Roman" w:hAnsi="Times New Roman"/>
          <w:b/>
        </w:rPr>
        <w:tab/>
      </w:r>
    </w:p>
    <w:p>
      <w:pPr>
        <w:pStyle w:val="Normal"/>
        <w:ind w:hanging="2880" w:start="2880" w:end="0"/>
        <w:jc w:val="both"/>
        <w:rPr/>
      </w:pPr>
      <w:r>
        <w:rPr>
          <w:rFonts w:cs="Times New Roman" w:ascii="Times New Roman" w:hAnsi="Times New Roman"/>
          <w:b/>
        </w:rPr>
        <w:t>Education:</w:t>
      </w:r>
      <w:r>
        <w:rPr>
          <w:rFonts w:cs="Times New Roman" w:ascii="Times New Roman" w:hAnsi="Times New Roman"/>
        </w:rPr>
        <w:tab/>
      </w:r>
      <w:r>
        <w:rPr>
          <w:rFonts w:cs="Times New Roman" w:ascii="Times New Roman" w:hAnsi="Times New Roman"/>
          <w:i/>
        </w:rPr>
        <w:t>M.A. (Economic Policy Management),</w:t>
      </w:r>
      <w:r>
        <w:rPr>
          <w:rFonts w:cs="Times New Roman" w:ascii="Times New Roman" w:hAnsi="Times New Roman"/>
        </w:rPr>
        <w:t xml:space="preserve"> Columbia University,  New York, U.S.A. 1994</w:t>
      </w:r>
    </w:p>
    <w:p>
      <w:pPr>
        <w:pStyle w:val="Normal"/>
        <w:ind w:start="2880" w:end="0"/>
        <w:jc w:val="both"/>
        <w:rPr/>
      </w:pPr>
      <w:r>
        <w:rPr>
          <w:rFonts w:cs="Times New Roman" w:ascii="Times New Roman" w:hAnsi="Times New Roman"/>
          <w:i/>
        </w:rPr>
        <w:t>Post Graduate Diploma in Financial Management,</w:t>
      </w:r>
      <w:r>
        <w:rPr>
          <w:rFonts w:cs="Times New Roman" w:ascii="Times New Roman" w:hAnsi="Times New Roman"/>
        </w:rPr>
        <w:t xml:space="preserve"> Delhi University, India, 1992</w:t>
      </w:r>
    </w:p>
    <w:p>
      <w:pPr>
        <w:pStyle w:val="Normal"/>
        <w:ind w:start="2880" w:end="0"/>
        <w:jc w:val="both"/>
        <w:rPr/>
      </w:pPr>
      <w:r>
        <w:rPr>
          <w:rFonts w:cs="Times New Roman" w:ascii="Times New Roman" w:hAnsi="Times New Roman"/>
          <w:i/>
        </w:rPr>
        <w:t>M.A. (History, Political Science),</w:t>
      </w:r>
      <w:r>
        <w:rPr>
          <w:rFonts w:cs="Times New Roman" w:ascii="Times New Roman" w:hAnsi="Times New Roman"/>
        </w:rPr>
        <w:t xml:space="preserve"> Delhi University, India, 1974</w:t>
      </w:r>
    </w:p>
    <w:p>
      <w:pPr>
        <w:pStyle w:val="Normal"/>
        <w:ind w:start="2880" w:end="0"/>
        <w:jc w:val="both"/>
        <w:rPr/>
      </w:pPr>
      <w:r>
        <w:rPr>
          <w:rFonts w:cs="Times New Roman" w:ascii="Times New Roman" w:hAnsi="Times New Roman"/>
          <w:i/>
        </w:rPr>
        <w:t xml:space="preserve">B.A. (History, Politics, and Economics), </w:t>
      </w:r>
      <w:r>
        <w:rPr>
          <w:rFonts w:cs="Times New Roman" w:ascii="Times New Roman" w:hAnsi="Times New Roman"/>
        </w:rPr>
        <w:t>St. Stephens College, Delhi, India, 1972</w:t>
      </w:r>
    </w:p>
    <w:p>
      <w:pPr>
        <w:pStyle w:val="Normal"/>
        <w:jc w:val="both"/>
        <w:rPr>
          <w:rFonts w:ascii="Times New Roman" w:hAnsi="Times New Roman" w:cs="Times New Roman"/>
        </w:rPr>
      </w:pPr>
      <w:r>
        <w:rPr>
          <w:rFonts w:cs="Times New Roman" w:ascii="Times New Roman" w:hAnsi="Times New Roman"/>
        </w:rPr>
      </w:r>
    </w:p>
    <w:p>
      <w:pPr>
        <w:pStyle w:val="Heading4"/>
        <w:rPr>
          <w:rFonts w:ascii="Times New Roman" w:hAnsi="Times New Roman" w:cs="Times New Roman"/>
        </w:rPr>
      </w:pPr>
      <w:r>
        <w:rPr>
          <w:rFonts w:cs="Times New Roman" w:ascii="Times New Roman" w:hAnsi="Times New Roman"/>
        </w:rPr>
        <w:t>Fellowship Interests:</w:t>
      </w:r>
    </w:p>
    <w:p>
      <w:pPr>
        <w:pStyle w:val="Normal"/>
        <w:jc w:val="both"/>
        <w:rPr>
          <w:rFonts w:ascii="Times New Roman" w:hAnsi="Times New Roman" w:cs="Times New Roman"/>
        </w:rPr>
      </w:pPr>
      <w:r>
        <w:rPr>
          <w:rFonts w:cs="Times New Roman" w:ascii="Times New Roman" w:hAnsi="Times New Roman"/>
        </w:rPr>
      </w:r>
    </w:p>
    <w:p>
      <w:pPr>
        <w:pStyle w:val="BodyText3"/>
        <w:numPr>
          <w:ilvl w:val="0"/>
          <w:numId w:val="3"/>
        </w:numPr>
        <w:rPr/>
      </w:pPr>
      <w:r>
        <w:rPr/>
        <w:t>To meet with decision makers in government and civil society, utility service providers                                 and researchers to learn about:</w:t>
      </w:r>
    </w:p>
    <w:p>
      <w:pPr>
        <w:pStyle w:val="Normal"/>
        <w:numPr>
          <w:ilvl w:val="0"/>
          <w:numId w:val="2"/>
        </w:numPr>
        <w:ind w:hanging="360" w:start="1080" w:end="0"/>
        <w:jc w:val="both"/>
        <w:rPr>
          <w:rFonts w:ascii="Times New Roman" w:hAnsi="Times New Roman" w:cs="Times New Roman"/>
        </w:rPr>
      </w:pPr>
      <w:r>
        <w:rPr>
          <w:rFonts w:cs="Times New Roman" w:ascii="Times New Roman" w:hAnsi="Times New Roman"/>
        </w:rPr>
        <w:t>The structure of  U.S. energy policy.</w:t>
      </w:r>
    </w:p>
    <w:p>
      <w:pPr>
        <w:pStyle w:val="BodyText3"/>
        <w:numPr>
          <w:ilvl w:val="0"/>
          <w:numId w:val="2"/>
        </w:numPr>
        <w:ind w:hanging="360" w:start="1080" w:end="0"/>
        <w:rPr/>
      </w:pPr>
      <w:r>
        <w:rPr/>
        <w:t>The structure of network utility industries: gas, power, water and      telecommunications.</w:t>
      </w:r>
    </w:p>
    <w:p>
      <w:pPr>
        <w:pStyle w:val="Normal"/>
        <w:numPr>
          <w:ilvl w:val="0"/>
          <w:numId w:val="2"/>
        </w:numPr>
        <w:ind w:hanging="360" w:start="1080" w:end="0"/>
        <w:jc w:val="both"/>
        <w:rPr>
          <w:rFonts w:ascii="Times New Roman" w:hAnsi="Times New Roman" w:cs="Times New Roman"/>
        </w:rPr>
      </w:pPr>
      <w:r>
        <w:rPr>
          <w:rFonts w:cs="Times New Roman" w:ascii="Times New Roman" w:hAnsi="Times New Roman"/>
        </w:rPr>
        <w:t>The historical context in which legislation, business practices and ownership patterns developed in these industries.</w:t>
      </w:r>
    </w:p>
    <w:p>
      <w:pPr>
        <w:pStyle w:val="BodyText3"/>
        <w:rPr/>
      </w:pPr>
      <w:r>
        <w:rPr/>
        <w:t>2.   To learn about regulatory trends in U.S. network utility industries including:</w:t>
      </w:r>
    </w:p>
    <w:p>
      <w:pPr>
        <w:pStyle w:val="Normal"/>
        <w:numPr>
          <w:ilvl w:val="0"/>
          <w:numId w:val="4"/>
        </w:numPr>
        <w:ind w:hanging="360" w:start="1080" w:end="0"/>
        <w:jc w:val="both"/>
        <w:rPr>
          <w:rFonts w:ascii="Times New Roman" w:hAnsi="Times New Roman" w:cs="Times New Roman"/>
        </w:rPr>
      </w:pPr>
      <w:r>
        <w:rPr>
          <w:rFonts w:cs="Times New Roman" w:ascii="Times New Roman" w:hAnsi="Times New Roman"/>
        </w:rPr>
        <w:t>The extent of convergence in regulatory practices across sectors.</w:t>
      </w:r>
    </w:p>
    <w:p>
      <w:pPr>
        <w:pStyle w:val="BodyText3"/>
        <w:numPr>
          <w:ilvl w:val="0"/>
          <w:numId w:val="4"/>
        </w:numPr>
        <w:ind w:hanging="360" w:start="1080" w:end="0"/>
        <w:rPr/>
      </w:pPr>
      <w:r>
        <w:rPr/>
        <w:t>The extent to which competition will replace regulation.</w:t>
      </w:r>
    </w:p>
    <w:p>
      <w:pPr>
        <w:pStyle w:val="Normal"/>
        <w:numPr>
          <w:ilvl w:val="0"/>
          <w:numId w:val="4"/>
        </w:numPr>
        <w:ind w:hanging="360" w:start="1080" w:end="0"/>
        <w:jc w:val="both"/>
        <w:rPr>
          <w:rFonts w:ascii="Times New Roman" w:hAnsi="Times New Roman" w:cs="Times New Roman"/>
        </w:rPr>
      </w:pPr>
      <w:r>
        <w:rPr>
          <w:rFonts w:cs="Times New Roman" w:ascii="Times New Roman" w:hAnsi="Times New Roman"/>
        </w:rPr>
        <w:t>How the role of the State has changed over time.</w:t>
      </w:r>
    </w:p>
    <w:p>
      <w:pPr>
        <w:pStyle w:val="Normal"/>
        <w:jc w:val="both"/>
        <w:rPr>
          <w:rFonts w:ascii="Times New Roman" w:hAnsi="Times New Roman" w:cs="Times New Roman"/>
        </w:rPr>
      </w:pPr>
      <w:r>
        <w:rPr>
          <w:rFonts w:cs="Times New Roman" w:ascii="Times New Roman" w:hAnsi="Times New Roman"/>
        </w:rPr>
        <w:t>3.   To gain knowledge of  U.S. environmental policy in both local and global contexts.</w:t>
      </w:r>
    </w:p>
    <w:p>
      <w:pPr>
        <w:pStyle w:val="BodyText3"/>
        <w:rPr/>
      </w:pPr>
      <w:r>
        <w:rPr/>
        <w:t>4.   To examine current trends in the development and use of clean energy.</w:t>
      </w:r>
    </w:p>
    <w:p>
      <w:pPr>
        <w:pStyle w:val="Normal"/>
        <w:jc w:val="both"/>
        <w:rPr>
          <w:rFonts w:ascii="Times New Roman" w:hAnsi="Times New Roman" w:cs="Times New Roman"/>
        </w:rPr>
      </w:pPr>
      <w:r>
        <w:rPr>
          <w:rFonts w:cs="Times New Roman" w:ascii="Times New Roman" w:hAnsi="Times New Roman"/>
        </w:rPr>
        <w:t>5.   To explore lessons for India from the American experience.</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000000"/>
      <w:sz w:val="24"/>
      <w:szCs w:val="20"/>
      <w:lang w:val="en-US" w:eastAsia="zh-CN" w:bidi="hi-IN"/>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rPr>
  </w:style>
  <w:style w:type="paragraph" w:styleId="Heading4">
    <w:name w:val="heading 4"/>
    <w:basedOn w:val="Normal"/>
    <w:next w:val="Normal"/>
    <w:qFormat/>
    <w:pPr>
      <w:keepNext w:val="true"/>
      <w:numPr>
        <w:ilvl w:val="3"/>
        <w:numId w:val="1"/>
      </w:numPr>
      <w:ind w:hanging="2160" w:start="2160" w:end="0"/>
      <w:jc w:val="both"/>
      <w:outlineLvl w:val="3"/>
    </w:pPr>
    <w:rPr>
      <w:b/>
    </w:rPr>
  </w:style>
  <w:style w:type="paragraph" w:styleId="Heading5">
    <w:name w:val="heading 5"/>
    <w:basedOn w:val="Normal"/>
    <w:next w:val="Normal"/>
    <w:qFormat/>
    <w:pPr>
      <w:keepNext w:val="true"/>
      <w:numPr>
        <w:ilvl w:val="4"/>
        <w:numId w:val="1"/>
      </w:numPr>
      <w:pBdr>
        <w:top w:val="threeDEmboss" w:sz="24" w:space="1" w:color="000000"/>
      </w:pBdr>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b/>
      <w:sz w:val="22"/>
    </w:rPr>
  </w:style>
  <w:style w:type="paragraph" w:styleId="Heading7">
    <w:name w:val="heading 7"/>
    <w:basedOn w:val="Normal"/>
    <w:next w:val="Normal"/>
    <w:qFormat/>
    <w:pPr>
      <w:keepNext w:val="true"/>
      <w:numPr>
        <w:ilvl w:val="6"/>
        <w:numId w:val="1"/>
      </w:numPr>
      <w:outlineLvl w:val="6"/>
    </w:pPr>
    <w:rPr>
      <w:rFonts w:ascii="Times New Roman" w:hAnsi="Times New Roman" w:cs="Times New Roman"/>
      <w:b/>
      <w:sz w:val="20"/>
    </w:rPr>
  </w:style>
  <w:style w:type="character" w:styleId="WW8Num1z0">
    <w:name w:val="WW8Num1z0"/>
    <w:qFormat/>
    <w:rPr>
      <w:rFonts w:ascii="Symbol" w:hAnsi="Symbol" w:cs="Symbol"/>
      <w:color w:val="auto"/>
    </w:rPr>
  </w:style>
  <w:style w:type="character" w:styleId="WW8Num3z0">
    <w:name w:val="WW8Num3z0"/>
    <w:qFormat/>
    <w:rPr/>
  </w:style>
  <w:style w:type="character" w:styleId="WW8Num4z0">
    <w:name w:val="WW8Num4z0"/>
    <w:qFormat/>
    <w:rPr>
      <w:rFonts w:ascii="Symbol" w:hAnsi="Symbol" w:cs="Symbol"/>
      <w:color w:val="auto"/>
    </w:rPr>
  </w:style>
  <w:style w:type="character" w:styleId="WW8Num6z0">
    <w:name w:val="WW8Num6z0"/>
    <w:qFormat/>
    <w:rPr/>
  </w:style>
  <w:style w:type="character" w:styleId="WW8Num7z0">
    <w:name w:val="WW8Num7z0"/>
    <w:qFormat/>
    <w:rPr>
      <w:rFonts w:ascii="Symbol" w:hAnsi="Symbol" w:cs="Symbol"/>
      <w:color w:val="auto"/>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color w:val="auto"/>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color w:val="auto"/>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pBdr>
        <w:top w:val="threeDEmboss" w:sz="24" w:space="1" w:color="000000"/>
      </w:pBd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2"/>
    </w:rPr>
  </w:style>
  <w:style w:type="paragraph" w:styleId="CommentText">
    <w:name w:val="Comment Text"/>
    <w:basedOn w:val="Normal"/>
    <w:qFormat/>
    <w:pPr/>
    <w:rPr>
      <w:sz w:val="20"/>
    </w:rPr>
  </w:style>
  <w:style w:type="paragraph" w:styleId="BodyText3">
    <w:name w:val="Body Text 3"/>
    <w:basedOn w:val="Normal"/>
    <w:qFormat/>
    <w:pPr>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2000-07-18T10:45:00Z</dcterms:created>
  <dc:creator>Mary Kate Dolan</dc:creator>
  <dc:description/>
  <dc:language>en-CA</dc:language>
  <cp:lastModifiedBy>Mary</cp:lastModifiedBy>
  <cp:lastPrinted>2000-07-18T16:59:00Z</cp:lastPrinted>
  <dcterms:modified xsi:type="dcterms:W3CDTF">2000-07-18T18:31:00Z</dcterms:modified>
  <cp:revision>5</cp:revision>
  <dc:subject/>
  <dc:title>2000 EISENHOWER EXCHANGE FELLOW</dc:title>
</cp:coreProperties>
</file>