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jc w:val="center"/>
        <w:rPr>
          <w:sz w:val="36"/>
        </w:rPr>
      </w:pPr>
      <w:r>
        <w:rPr>
          <w:rFonts w:cs="Arial" w:ascii="Arial" w:hAnsi="Arial"/>
          <w:b/>
          <w:sz w:val="36"/>
        </w:rPr>
        <w:t>Anthony "AG" Gelotti</w:t>
      </w:r>
    </w:p>
    <w:p>
      <w:pPr>
        <w:pStyle w:val="Normal"/>
        <w:rPr>
          <w:rFonts w:ascii="Arial" w:hAnsi="Arial" w:cs="Arial"/>
          <w:b/>
          <w:sz w:val="18"/>
        </w:rPr>
      </w:pPr>
      <w:r>
        <w:rPr>
          <w:rFonts w:cs="Arial" w:ascii="Arial" w:hAnsi="Arial"/>
          <w:b/>
          <w:sz w:val="18"/>
        </w:rPr>
      </w:r>
    </w:p>
    <w:tbl>
      <w:tblPr>
        <w:tblW w:w="8856" w:type="dxa"/>
        <w:jc w:val="start"/>
        <w:tblInd w:w="0" w:type="dxa"/>
        <w:tblLayout w:type="fixed"/>
        <w:tblCellMar>
          <w:top w:w="0" w:type="dxa"/>
          <w:start w:w="108" w:type="dxa"/>
          <w:bottom w:w="0" w:type="dxa"/>
          <w:end w:w="108" w:type="dxa"/>
        </w:tblCellMar>
      </w:tblPr>
      <w:tblGrid>
        <w:gridCol w:w="1008"/>
        <w:gridCol w:w="3690"/>
        <w:gridCol w:w="4158"/>
      </w:tblGrid>
      <w:tr>
        <w:trPr/>
        <w:tc>
          <w:tcPr>
            <w:tcW w:w="1008" w:type="dxa"/>
            <w:tcBorders/>
          </w:tcPr>
          <w:p>
            <w:pPr>
              <w:pStyle w:val="Normal"/>
              <w:rPr>
                <w:rFonts w:ascii="Arial" w:hAnsi="Arial" w:cs="Arial"/>
                <w:b/>
                <w:sz w:val="18"/>
              </w:rPr>
            </w:pPr>
            <w:r>
              <w:rPr>
                <w:rFonts w:cs="Arial" w:ascii="Arial" w:hAnsi="Arial"/>
                <w:i/>
                <w:sz w:val="16"/>
                <w:u w:val="single"/>
              </w:rPr>
              <w:t>Personal:</w:t>
            </w:r>
            <w:r>
              <w:rPr>
                <w:rFonts w:cs="Arial" w:ascii="Arial" w:hAnsi="Arial"/>
                <w:sz w:val="16"/>
              </w:rPr>
              <w:tab/>
            </w:r>
          </w:p>
        </w:tc>
        <w:tc>
          <w:tcPr>
            <w:tcW w:w="7848" w:type="dxa"/>
            <w:gridSpan w:val="2"/>
            <w:tcBorders/>
          </w:tcPr>
          <w:p>
            <w:pPr>
              <w:pStyle w:val="Normal"/>
              <w:rPr>
                <w:rFonts w:ascii="Arial" w:hAnsi="Arial" w:cs="Arial"/>
                <w:b/>
                <w:sz w:val="18"/>
              </w:rPr>
            </w:pPr>
            <w:r>
              <w:rPr>
                <w:rFonts w:cs="Arial" w:ascii="Arial" w:hAnsi="Arial"/>
                <w:sz w:val="16"/>
              </w:rPr>
              <w:t>Married, 2 Sons</w:t>
            </w:r>
          </w:p>
        </w:tc>
      </w:tr>
      <w:tr>
        <w:trPr/>
        <w:tc>
          <w:tcPr>
            <w:tcW w:w="1008" w:type="dxa"/>
            <w:tcBorders/>
          </w:tcPr>
          <w:p>
            <w:pPr>
              <w:pStyle w:val="Normal"/>
              <w:snapToGrid w:val="false"/>
              <w:rPr>
                <w:rFonts w:ascii="Arial" w:hAnsi="Arial" w:cs="Arial"/>
                <w:b/>
                <w:i/>
                <w:i/>
                <w:sz w:val="16"/>
                <w:u w:val="single"/>
              </w:rPr>
            </w:pPr>
            <w:r>
              <w:rPr>
                <w:rFonts w:cs="Arial" w:ascii="Arial" w:hAnsi="Arial"/>
                <w:b/>
                <w:i/>
                <w:sz w:val="16"/>
                <w:u w:val="single"/>
              </w:rPr>
            </w:r>
          </w:p>
        </w:tc>
        <w:tc>
          <w:tcPr>
            <w:tcW w:w="7848" w:type="dxa"/>
            <w:gridSpan w:val="2"/>
            <w:tcBorders/>
          </w:tcPr>
          <w:p>
            <w:pPr>
              <w:pStyle w:val="Normal"/>
              <w:rPr>
                <w:rFonts w:ascii="Arial" w:hAnsi="Arial" w:cs="Arial"/>
                <w:sz w:val="16"/>
              </w:rPr>
            </w:pPr>
            <w:r>
              <w:rPr>
                <w:rFonts w:cs="Arial" w:ascii="Arial" w:hAnsi="Arial"/>
                <w:sz w:val="18"/>
              </w:rPr>
              <w:t>Currently residing in Mumbai (Bombay), India / India Cell Phone (91-98) 201-84425</w:t>
            </w:r>
          </w:p>
        </w:tc>
      </w:tr>
      <w:tr>
        <w:trPr/>
        <w:tc>
          <w:tcPr>
            <w:tcW w:w="1008" w:type="dxa"/>
            <w:tcBorders/>
          </w:tcPr>
          <w:p>
            <w:pPr>
              <w:pStyle w:val="Normal"/>
              <w:snapToGrid w:val="false"/>
              <w:rPr>
                <w:rFonts w:ascii="Arial" w:hAnsi="Arial" w:cs="Arial"/>
                <w:i/>
                <w:i/>
                <w:sz w:val="16"/>
                <w:u w:val="single"/>
              </w:rPr>
            </w:pPr>
            <w:r>
              <w:rPr>
                <w:rFonts w:cs="Arial" w:ascii="Arial" w:hAnsi="Arial"/>
                <w:i/>
                <w:sz w:val="16"/>
                <w:u w:val="single"/>
              </w:rPr>
            </w:r>
          </w:p>
        </w:tc>
        <w:tc>
          <w:tcPr>
            <w:tcW w:w="7848" w:type="dxa"/>
            <w:gridSpan w:val="2"/>
            <w:tcBorders/>
          </w:tcPr>
          <w:p>
            <w:pPr>
              <w:pStyle w:val="Normal"/>
              <w:rPr>
                <w:rFonts w:ascii="Arial" w:hAnsi="Arial" w:cs="Arial"/>
                <w:sz w:val="16"/>
              </w:rPr>
            </w:pPr>
            <w:r>
              <w:rPr>
                <w:rFonts w:cs="Arial" w:ascii="Arial" w:hAnsi="Arial"/>
                <w:sz w:val="16"/>
              </w:rPr>
              <w:t>U.S. forwarding Mailing Address: 1405  West Clay Street, PMB 1271, Houston, TX 77019</w:t>
            </w:r>
          </w:p>
        </w:tc>
      </w:tr>
      <w:tr>
        <w:trPr/>
        <w:tc>
          <w:tcPr>
            <w:tcW w:w="1008" w:type="dxa"/>
            <w:tcBorders/>
          </w:tcPr>
          <w:p>
            <w:pPr>
              <w:pStyle w:val="Normal"/>
              <w:snapToGrid w:val="false"/>
              <w:rPr>
                <w:rFonts w:ascii="Arial" w:hAnsi="Arial" w:cs="Arial"/>
                <w:i/>
                <w:i/>
                <w:sz w:val="16"/>
                <w:u w:val="single"/>
              </w:rPr>
            </w:pPr>
            <w:r>
              <w:rPr>
                <w:rFonts w:cs="Arial" w:ascii="Arial" w:hAnsi="Arial"/>
                <w:i/>
                <w:sz w:val="16"/>
                <w:u w:val="single"/>
              </w:rPr>
            </w:r>
          </w:p>
        </w:tc>
        <w:tc>
          <w:tcPr>
            <w:tcW w:w="3690" w:type="dxa"/>
            <w:tcBorders/>
          </w:tcPr>
          <w:p>
            <w:pPr>
              <w:pStyle w:val="Normal"/>
              <w:snapToGrid w:val="false"/>
              <w:rPr>
                <w:rFonts w:ascii="Arial" w:hAnsi="Arial" w:cs="Arial"/>
                <w:i/>
                <w:i/>
                <w:sz w:val="16"/>
                <w:u w:val="single"/>
              </w:rPr>
            </w:pPr>
            <w:r>
              <w:rPr>
                <w:rFonts w:cs="Arial" w:ascii="Arial" w:hAnsi="Arial"/>
                <w:i/>
                <w:sz w:val="16"/>
                <w:u w:val="single"/>
              </w:rPr>
            </w:r>
          </w:p>
        </w:tc>
        <w:tc>
          <w:tcPr>
            <w:tcW w:w="4158" w:type="dxa"/>
            <w:tcBorders/>
          </w:tcPr>
          <w:p>
            <w:pPr>
              <w:pStyle w:val="Normal"/>
              <w:snapToGrid w:val="false"/>
              <w:rPr>
                <w:rFonts w:ascii="Arial" w:hAnsi="Arial" w:cs="Arial"/>
                <w:sz w:val="16"/>
              </w:rPr>
            </w:pPr>
            <w:r>
              <w:rPr>
                <w:rFonts w:cs="Arial" w:ascii="Arial" w:hAnsi="Arial"/>
                <w:sz w:val="16"/>
              </w:rPr>
            </w:r>
          </w:p>
        </w:tc>
      </w:tr>
      <w:tr>
        <w:trPr/>
        <w:tc>
          <w:tcPr>
            <w:tcW w:w="1008" w:type="dxa"/>
            <w:tcBorders/>
          </w:tcPr>
          <w:p>
            <w:pPr>
              <w:pStyle w:val="Normal"/>
              <w:rPr>
                <w:rFonts w:ascii="Arial" w:hAnsi="Arial" w:cs="Arial"/>
                <w:sz w:val="18"/>
              </w:rPr>
            </w:pPr>
            <w:r>
              <w:rPr>
                <w:rFonts w:cs="Arial" w:ascii="Arial" w:hAnsi="Arial"/>
                <w:i/>
                <w:sz w:val="16"/>
                <w:u w:val="single"/>
              </w:rPr>
              <w:t>Education:</w:t>
            </w:r>
          </w:p>
        </w:tc>
        <w:tc>
          <w:tcPr>
            <w:tcW w:w="3690" w:type="dxa"/>
            <w:tcBorders/>
          </w:tcPr>
          <w:p>
            <w:pPr>
              <w:pStyle w:val="Normal"/>
              <w:rPr>
                <w:rFonts w:ascii="Arial" w:hAnsi="Arial" w:cs="Arial"/>
                <w:sz w:val="18"/>
              </w:rPr>
            </w:pPr>
            <w:r>
              <w:rPr>
                <w:rFonts w:cs="Arial" w:ascii="Arial" w:hAnsi="Arial"/>
                <w:sz w:val="18"/>
              </w:rPr>
              <w:t>The Pennsylvania State University</w:t>
            </w:r>
          </w:p>
        </w:tc>
        <w:tc>
          <w:tcPr>
            <w:tcW w:w="4158" w:type="dxa"/>
            <w:tcBorders/>
          </w:tcPr>
          <w:p>
            <w:pPr>
              <w:pStyle w:val="Normal"/>
              <w:rPr>
                <w:rFonts w:ascii="Arial" w:hAnsi="Arial" w:cs="Arial"/>
                <w:sz w:val="18"/>
              </w:rPr>
            </w:pPr>
            <w:r>
              <w:rPr>
                <w:rFonts w:cs="Arial" w:ascii="Arial" w:hAnsi="Arial"/>
                <w:sz w:val="18"/>
              </w:rPr>
              <w:t>BS Petroleum &amp; Natural Gas Engineering</w:t>
            </w:r>
          </w:p>
        </w:tc>
      </w:tr>
      <w:tr>
        <w:trPr/>
        <w:tc>
          <w:tcPr>
            <w:tcW w:w="1008" w:type="dxa"/>
            <w:tcBorders/>
          </w:tcPr>
          <w:p>
            <w:pPr>
              <w:pStyle w:val="Normal"/>
              <w:snapToGrid w:val="false"/>
              <w:rPr>
                <w:rFonts w:ascii="Arial" w:hAnsi="Arial" w:cs="Arial"/>
                <w:sz w:val="18"/>
              </w:rPr>
            </w:pPr>
            <w:r>
              <w:rPr>
                <w:rFonts w:cs="Arial" w:ascii="Arial" w:hAnsi="Arial"/>
                <w:sz w:val="18"/>
              </w:rPr>
            </w:r>
          </w:p>
        </w:tc>
        <w:tc>
          <w:tcPr>
            <w:tcW w:w="3690" w:type="dxa"/>
            <w:tcBorders/>
          </w:tcPr>
          <w:p>
            <w:pPr>
              <w:pStyle w:val="Normal"/>
              <w:snapToGrid w:val="false"/>
              <w:rPr>
                <w:rFonts w:ascii="Arial" w:hAnsi="Arial" w:cs="Arial"/>
                <w:sz w:val="18"/>
              </w:rPr>
            </w:pPr>
            <w:r>
              <w:rPr>
                <w:rFonts w:cs="Arial" w:ascii="Arial" w:hAnsi="Arial"/>
                <w:sz w:val="18"/>
              </w:rPr>
            </w:r>
          </w:p>
        </w:tc>
        <w:tc>
          <w:tcPr>
            <w:tcW w:w="4158" w:type="dxa"/>
            <w:tcBorders/>
          </w:tcPr>
          <w:p>
            <w:pPr>
              <w:pStyle w:val="Normal"/>
              <w:rPr>
                <w:rFonts w:ascii="Arial" w:hAnsi="Arial" w:cs="Arial"/>
                <w:sz w:val="18"/>
              </w:rPr>
            </w:pPr>
            <w:r>
              <w:rPr>
                <w:rFonts w:cs="Arial" w:ascii="Arial" w:hAnsi="Arial"/>
                <w:sz w:val="16"/>
              </w:rPr>
              <w:t>Specialty – Reservoir Engineering</w:t>
            </w:r>
          </w:p>
        </w:tc>
      </w:tr>
    </w:tbl>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i/>
          <w:sz w:val="16"/>
          <w:u w:val="single"/>
        </w:rPr>
        <w:t>Business Experience:</w:t>
      </w:r>
    </w:p>
    <w:p>
      <w:pPr>
        <w:pStyle w:val="Heading3"/>
        <w:ind w:hanging="0" w:start="0"/>
        <w:rPr/>
      </w:pPr>
      <w:r>
        <w:rPr/>
        <w:t>Enron India Private Limited (EIPL), Bombay, India,</w:t>
        <w:tab/>
        <w:tab/>
        <w:t xml:space="preserve"> September 2000 to present </w:t>
      </w:r>
    </w:p>
    <w:p>
      <w:pPr>
        <w:pStyle w:val="Normal"/>
        <w:rPr>
          <w:rFonts w:ascii="Arial" w:hAnsi="Arial" w:cs="Arial"/>
          <w:b/>
          <w:sz w:val="18"/>
        </w:rPr>
      </w:pPr>
      <w:r>
        <w:rPr>
          <w:rFonts w:cs="Arial" w:ascii="Arial" w:hAnsi="Arial"/>
          <w:b/>
          <w:sz w:val="18"/>
        </w:rPr>
        <w:t xml:space="preserve">Head of Gas Business Unit, Enron India </w:t>
      </w:r>
    </w:p>
    <w:p>
      <w:pPr>
        <w:pStyle w:val="BodyText"/>
        <w:rPr/>
      </w:pPr>
      <w:r>
        <w:rPr/>
        <w:t xml:space="preserve">Oversee the establishment of an operating company organization to take the gas business, development project through the construction phase and into the commercial operation phase.  Responsibilities included structuring the operating organization of 30 professionals in both technical and commercial areas of asset development, gas marketing, price structuring &amp; risk management, project financing, regulatory, public &amp; community relations, fuel management, operations &amp; maintenance.  Also responsible for establishing and controlling the annual operating expense budget (initially $4.0 million) and the capital development budget to financial close ($60 million) and total capital budget through construction ($360 million), developing and presenting business unit strategies to senior Enron management for growing the business unit while laying off project risks and maximizing Enron’s return on equity. </w:t>
      </w:r>
    </w:p>
    <w:p>
      <w:pPr>
        <w:pStyle w:val="Normal"/>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t xml:space="preserve">Enron India Private Limited (EIPL), Bombay, India, </w:t>
        <w:tab/>
        <w:tab/>
        <w:tab/>
        <w:tab/>
        <w:t>1998 to 2000</w:t>
      </w:r>
    </w:p>
    <w:p>
      <w:pPr>
        <w:pStyle w:val="Normal"/>
        <w:rPr>
          <w:rFonts w:ascii="Arial" w:hAnsi="Arial" w:cs="Arial"/>
          <w:b/>
          <w:sz w:val="18"/>
        </w:rPr>
      </w:pPr>
      <w:r>
        <w:rPr>
          <w:rFonts w:cs="Arial" w:ascii="Arial" w:hAnsi="Arial"/>
          <w:b/>
          <w:sz w:val="18"/>
        </w:rPr>
        <w:t>Lead Developer, Enron India – MetGas Project</w:t>
      </w:r>
    </w:p>
    <w:p>
      <w:pPr>
        <w:pStyle w:val="BodyText"/>
        <w:rPr/>
      </w:pPr>
      <w:r>
        <w:rPr/>
        <w:t>Lead Developer for the natural gas transmission and distribution system along the West Coast of India.  Project scope and responsibilities included 190 km of 36 inch pipeline and 54 km of 24 inch laterals, expansion of the LNG Receiving, Storage and Regasification Terminal at Dabhol, acquisition of LNG/gas supply from Far East and Middle East suppliers for meeting gas sales requirements along the west coast of India.  Total capital cost for Phase I totaled approximately 360 million US dollars.  Responsible for all project development and financing requirements including all permits, clearances and licenses, acquisition of the right-of-way, commercial documents including LNG supply agreements with Malaysia, Petronas - Tiga, Oman LNG, Abu Dhabi and Qatar, EPC Turnkey, Gas Sales Agreements, Gas Transportation Agreement, Terminal &amp; Regasification Agreement, LNG Tank and Ship Sharing Agreement, pipeline O&amp;M Agreement, Third Party services for pipeline design and construction, structuring the project companies to minimize tax and regulatory exposure, acquiring project financing and insuring Corporate compliance with World Bank guidelines and to avoid criticism/opposition from NGO’s.</w:t>
      </w:r>
    </w:p>
    <w:p>
      <w:pPr>
        <w:pStyle w:val="Normal"/>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t xml:space="preserve">Enron International (EI), 333 Clay Street, Houston, Texas 77002,  </w:t>
        <w:tab/>
        <w:tab/>
        <w:tab/>
        <w:t>1994 to 1998</w:t>
      </w:r>
    </w:p>
    <w:p>
      <w:pPr>
        <w:pStyle w:val="Normal"/>
        <w:rPr>
          <w:rFonts w:ascii="Arial" w:hAnsi="Arial" w:cs="Arial"/>
          <w:b/>
          <w:sz w:val="18"/>
        </w:rPr>
      </w:pPr>
      <w:r>
        <w:rPr>
          <w:rFonts w:cs="Arial" w:ascii="Arial" w:hAnsi="Arial"/>
          <w:b/>
          <w:sz w:val="18"/>
        </w:rPr>
        <w:t>Senior Director, India Development Team</w:t>
      </w:r>
    </w:p>
    <w:p>
      <w:pPr>
        <w:pStyle w:val="BodyText"/>
        <w:rPr/>
      </w:pPr>
      <w:r>
        <w:rPr/>
        <w:t xml:space="preserve">Lead Developer for the Dabhol Power Company (DPC) LNG Receiving, Storage and Regasification Terminal including port facilities at Dabhol, India to fuel Enron’s 2,184 MW power plant.  LNG terminal capital cost of approximately 500 million US dollars designed to initially handle 5.0 million tons per year of LNG.  Responsibilities included overseeing all DPC fuel related needs including the due diligence report prepared by Poten &amp; Partners, advisor to the DPC Phase II Lenders,  and supporting the project financing Team during meetings with DPC Phase II Lenders.  Made numerous presentations to DPC lenders in New York, Singapore, Washington DC and Mumbai on LNG and fuel related matters which helped achieve a successful financial closure.   Represented DPC and actively participated in contract negotiations including both the Oman LNG and Abu Dhabi LNG Sale and Purchase Agreements (SPA) for 2.08 million tons per year of LNG.  Was successful in acquiring commercial terms most favorable to DPC including LNG seller default liabilities, a first of its kind in a LNG SPA.  Also negotiated the Marine and Regasification O&amp;M Agreements, the Tug Services Agreement and the Terminal And Regasification Agreement.  Was a key member of the Team that negotiated the LNG FOB Sale Purchase Agreement (SPA) for the Qatar (QGPC)/Enron Joint Venture project.  Was a key member in structuring and negotiating the Gas Supply Agreement with Pertamina/Mobil Oil Indonesia for the 500 MW East Java Power Project.  Quantity of </w:t>
      </w:r>
    </w:p>
    <w:p>
      <w:pPr>
        <w:pStyle w:val="BodyText"/>
        <w:rPr/>
      </w:pPr>
      <w:r>
        <w:rPr/>
        <w:t xml:space="preserve">100 MMcf/day for a term of 25 years. </w:t>
      </w:r>
    </w:p>
    <w:p>
      <w:pPr>
        <w:pStyle w:val="Normal"/>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t xml:space="preserve">Enron Capital and Trade Resources, 1400 Smith Street, Houston, Texas 77002,  </w:t>
        <w:tab/>
        <w:t>1992 to 1994</w:t>
      </w:r>
    </w:p>
    <w:p>
      <w:pPr>
        <w:pStyle w:val="Heading3"/>
        <w:ind w:hanging="0" w:start="0"/>
        <w:rPr/>
      </w:pPr>
      <w:r>
        <w:rPr/>
        <w:t>Director, Northeast Region</w:t>
      </w:r>
    </w:p>
    <w:p>
      <w:pPr>
        <w:pStyle w:val="Normal"/>
        <w:rPr/>
      </w:pPr>
      <w:r>
        <w:rPr>
          <w:rFonts w:cs="Arial" w:ascii="Arial" w:hAnsi="Arial"/>
          <w:sz w:val="18"/>
        </w:rPr>
        <w:t>Managed the Regional Marketing office in Washington DC, staff of four, with a yearly expense budget of $500,000.  Developed a strong network of customers in Pennsylvania, New York, New Jersey, Maryland, Delaware and New England.  Negotiated both long term and short-term gas sales contracts.  Contracts completed included Brooklyn Union Gas, National Fuel, Public Service Electric and Gas, Mansfield Consortium, Southern Connecticut, Con Edison, Long Island Lighting Co., Yankee, Commonwealth Gas, Providence Gas, Boston Gas, Niagara Mohawk, Elizabethtown, Delmarva</w:t>
      </w:r>
      <w:r>
        <w:rPr>
          <w:rFonts w:cs="Arial" w:ascii="Arial" w:hAnsi="Arial"/>
          <w:i/>
          <w:sz w:val="18"/>
        </w:rPr>
        <w:t>.</w:t>
      </w:r>
      <w:r>
        <w:rPr>
          <w:rFonts w:cs="Arial" w:ascii="Arial" w:hAnsi="Arial"/>
          <w:sz w:val="18"/>
        </w:rPr>
        <w:t xml:space="preserve">  Sales quantities totaled roughly 500,000 MMBtu/day. Utilized fixed price and derivative products when structuring long term gas sales agreements (NYMEX Futures, Caps, Collars, Financial Swaps and Options). Origination accomplishments totaled eight deals done in 1993; total origination credit $10.3 million, roughly 70% of total LDC Services Group contribution for 1993, three deals done in 1994; total origination credit $8.5 million, roughly 50% of total LDC Services Group contribution for 1994.</w:t>
      </w:r>
    </w:p>
    <w:p>
      <w:pPr>
        <w:pStyle w:val="Normal"/>
        <w:rPr>
          <w:rFonts w:ascii="Arial" w:hAnsi="Arial" w:cs="Arial"/>
          <w:sz w:val="18"/>
        </w:rPr>
      </w:pPr>
      <w:r>
        <w:rPr>
          <w:rFonts w:cs="Arial" w:ascii="Arial" w:hAnsi="Arial"/>
          <w:sz w:val="18"/>
        </w:rPr>
      </w:r>
    </w:p>
    <w:p>
      <w:pPr>
        <w:pStyle w:val="Normal"/>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t xml:space="preserve">Mobil Natural Gas Inc., 12450 Greenspoint Drive, Houston, Texas,  </w:t>
        <w:tab/>
        <w:tab/>
        <w:t>1990 to 1992</w:t>
      </w:r>
    </w:p>
    <w:p>
      <w:pPr>
        <w:pStyle w:val="Normal"/>
        <w:numPr>
          <w:ilvl w:val="0"/>
          <w:numId w:val="0"/>
        </w:numPr>
        <w:ind w:hanging="0" w:start="0"/>
        <w:jc w:val="both"/>
        <w:rPr>
          <w:rFonts w:ascii="Arial" w:hAnsi="Arial" w:cs="Arial"/>
          <w:b/>
          <w:sz w:val="18"/>
        </w:rPr>
      </w:pPr>
      <w:r>
        <w:rPr>
          <w:rFonts w:cs="Arial" w:ascii="Arial" w:hAnsi="Arial"/>
          <w:b/>
          <w:sz w:val="18"/>
        </w:rPr>
        <w:t>Senior Gas Sales Specialist</w:t>
      </w:r>
    </w:p>
    <w:p>
      <w:pPr>
        <w:pStyle w:val="Normal"/>
        <w:rPr>
          <w:rFonts w:ascii="Arial" w:hAnsi="Arial" w:cs="Arial"/>
          <w:sz w:val="18"/>
        </w:rPr>
      </w:pPr>
      <w:r>
        <w:rPr>
          <w:rFonts w:cs="Arial" w:ascii="Arial" w:hAnsi="Arial"/>
          <w:sz w:val="18"/>
        </w:rPr>
        <w:t>Developed a strong network of customers in Pennsylvania, New York, and New England.  Negotiated both long and short-term gas sales contracts with Brooklyn Union Gas, National Fuel, Niagara Mohawk, Providence Gas, UGI, Philly Gas, Public Service Electric and Gas and South Jersey.  Sales quantities in excess of 250,000 MMBtu/day.  Structured and implemented marketing objectives/goals and strategies,  market/competitor analysis and new business opportunities.  Helped resolve state and federal regulatory issues including the pipeline rate case settlement for Tennessee Gas Pipeline "Cosmic" Settlement”.  Represented and protected Mobil’s interests at state and federal agencies and customer and industry group functions.</w:t>
      </w:r>
    </w:p>
    <w:p>
      <w:pPr>
        <w:pStyle w:val="Normal"/>
        <w:rPr>
          <w:rFonts w:ascii="Arial" w:hAnsi="Arial" w:cs="Arial"/>
          <w:sz w:val="18"/>
        </w:rPr>
      </w:pPr>
      <w:r>
        <w:rPr>
          <w:rFonts w:cs="Arial" w:ascii="Arial" w:hAnsi="Arial"/>
          <w:sz w:val="18"/>
        </w:rPr>
      </w:r>
    </w:p>
    <w:p>
      <w:pPr>
        <w:pStyle w:val="Normal"/>
        <w:rPr>
          <w:rFonts w:ascii="Arial" w:hAnsi="Arial" w:cs="Arial"/>
          <w:b/>
          <w:sz w:val="18"/>
        </w:rPr>
      </w:pPr>
      <w:r>
        <w:rPr>
          <w:rFonts w:cs="Arial" w:ascii="Arial" w:hAnsi="Arial"/>
          <w:b/>
          <w:sz w:val="18"/>
        </w:rPr>
        <w:t xml:space="preserve">Mobil Exploration and Producing US, Inc., Midland Division, Midland, Texas,  </w:t>
        <w:tab/>
        <w:t>1988 to 1990</w:t>
      </w:r>
    </w:p>
    <w:p>
      <w:pPr>
        <w:pStyle w:val="Heading3"/>
        <w:ind w:hanging="0" w:start="0"/>
        <w:rPr/>
      </w:pPr>
      <w:r>
        <w:rPr/>
        <w:t>Senior Reservoir Engineering Advisor</w:t>
      </w:r>
    </w:p>
    <w:p>
      <w:pPr>
        <w:pStyle w:val="Normal"/>
        <w:rPr/>
      </w:pPr>
      <w:r>
        <w:rPr>
          <w:rFonts w:cs="Arial" w:ascii="Arial" w:hAnsi="Arial"/>
          <w:sz w:val="18"/>
        </w:rPr>
        <w:t>Performed reservoir simulation studies using Mobil's three-dimensional, compositional simulator (COSMOS) for enhanced oil recovery using CO</w:t>
      </w:r>
      <w:r>
        <w:rPr>
          <w:rFonts w:cs="Arial" w:ascii="Arial" w:hAnsi="Arial"/>
          <w:position w:val="-4"/>
          <w:sz w:val="18"/>
        </w:rPr>
        <w:t>2</w:t>
      </w:r>
      <w:r>
        <w:rPr>
          <w:rFonts w:cs="Arial" w:ascii="Arial" w:hAnsi="Arial"/>
          <w:sz w:val="18"/>
        </w:rPr>
        <w:t xml:space="preserve"> injection in west Texas oil fields.  Implemented reservoir characterization / formation evaluation studies on Mobil-operated properties located in west Texas and New Mexico and provided technical guidance to less experienced engineers.</w:t>
      </w:r>
    </w:p>
    <w:p>
      <w:pPr>
        <w:pStyle w:val="Normal"/>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t xml:space="preserve">Mobil Oil Indonesia, Inc. Jakarta, Indonesia, </w:t>
        <w:tab/>
        <w:tab/>
        <w:tab/>
        <w:tab/>
        <w:tab/>
        <w:t>1985 to 1988</w:t>
      </w:r>
    </w:p>
    <w:p>
      <w:pPr>
        <w:pStyle w:val="Normal"/>
        <w:rPr>
          <w:rFonts w:ascii="Arial" w:hAnsi="Arial" w:cs="Arial"/>
          <w:b/>
          <w:sz w:val="18"/>
        </w:rPr>
      </w:pPr>
      <w:r>
        <w:rPr>
          <w:rFonts w:cs="Arial" w:ascii="Arial" w:hAnsi="Arial"/>
          <w:b/>
          <w:sz w:val="18"/>
        </w:rPr>
        <w:t>Senior Planning Specialist</w:t>
      </w:r>
    </w:p>
    <w:p>
      <w:pPr>
        <w:pStyle w:val="BodyText"/>
        <w:rPr/>
      </w:pPr>
      <w:r>
        <w:rPr/>
        <w:t xml:space="preserve">Developed the "North Sumatra Gas Strategy" for the affiliate, which comprised the entire Pacific Rim, LNG market.  Key member of the Arun LNG Project, Task Force assigned to analyze economics for the renegotiations of three long-term (20 years) LNG, gas sales contracts between Pertamina/Mobil and Japanese utilities.  Revenue (IAT) generated in excess of 400 million dollars/year. Prepared project economics that supported the construction of the Arun LPG project ($600 million dollars capital investment and 1.6 million tons/year of LPG sold to Japanese utilities).  Prepared scoping economics for oil and/or gas exploration prospects located onshore or offshore including conceptual layouts for field development. Was successful in acquiring the Adang, Madura and Linguru Production Sharing Contracts (PSC’s).  Defined requirements and implemented activities to establish a database of facilities cost for preparation of scoping economics.  Accompanied members of the Affiliate's Exploration staff to Mobil's headquarters in New York to present scoping economics for potential farm-in opportunities ("A" Block and Central Sumatra PSC's).  Developed the "Image Protection Strategy" for the affiliate. Team leader for the preparation of the affiliates' 1987-91 and 1988-92 Profit Plan &amp; Objectives with an annual exploration budget of approximately 70 million US dollars and capital budget of approximately 200 million US dollars. Prepared a comprehensive set of Business Objectives and Goals for the affiliate in 1987 and 1988. </w:t>
      </w:r>
    </w:p>
    <w:p>
      <w:pPr>
        <w:pStyle w:val="Normal"/>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t xml:space="preserve">Mobil Exploration Norway, Inc. (MENI), Stavanger, Norway, </w:t>
        <w:tab/>
        <w:tab/>
        <w:tab/>
        <w:t>1985 to 1985</w:t>
      </w:r>
    </w:p>
    <w:p>
      <w:pPr>
        <w:pStyle w:val="BodyText"/>
        <w:rPr>
          <w:b/>
        </w:rPr>
      </w:pPr>
      <w:r>
        <w:rPr>
          <w:b/>
        </w:rPr>
        <w:t>Senior Planning Specialist</w:t>
      </w:r>
    </w:p>
    <w:p>
      <w:pPr>
        <w:pStyle w:val="BodyText"/>
        <w:rPr/>
      </w:pPr>
      <w:r>
        <w:rPr/>
        <w:t>Prepared Ninth and Tenth Round Production License Applications for submittal to the Norwegian government.  Liaison between MENI and MEPSI/DRL (Mobil's technical research groups in Dallas) on technical matters related to the license round requirements.  Prepared scoping economics for oil and/or gas exploration prospects located onshore or offshore. This included conceptual layouts for field development, including the economics associated with the construction and operation of LNG facilities in northern Norway.  Was successful in acquiring acreage in both Ninth and Tenth Production License Rounds.  Defined requirements and implemented activities to establish a database of facilities cost for preparation of scoping economics.  Accompanied members of the Affiliate's Exploration staff to Mobil's headquarters in New York and presented scoping economics supporting license round applications to senior level managers.  Team leader in developing and finalizing the "Agreement" between Mobil and Statoil for implementing the actions for effecting the transfer of the Statfjord operatorship from Mobil to Statoil.  The Agreement was successfully implemented on July 1, 1985 and completed on January 1, 1988.  Team leader for the preparation of the affiliates' 1982-87, 1983-88, and 1984-89 Profit Plan &amp; Objectives.  Annual expense budget of approximately 40 million US dollars and capital budget of approximately 250 million US dollars.</w:t>
      </w:r>
    </w:p>
    <w:p>
      <w:pPr>
        <w:pStyle w:val="Normal"/>
        <w:rPr>
          <w:rFonts w:ascii="Arial" w:hAnsi="Arial" w:cs="Arial"/>
          <w:b/>
          <w:sz w:val="18"/>
        </w:rPr>
      </w:pPr>
      <w:r>
        <w:rPr>
          <w:rFonts w:cs="Arial" w:ascii="Arial" w:hAnsi="Arial"/>
          <w:b/>
          <w:sz w:val="18"/>
        </w:rPr>
      </w:r>
    </w:p>
    <w:p>
      <w:pPr>
        <w:pStyle w:val="Heading3"/>
        <w:ind w:hanging="0" w:start="0"/>
        <w:rPr/>
      </w:pPr>
      <w:r>
        <w:rPr/>
        <w:t xml:space="preserve">Mobil Exploration Norway, Inc. (MENI), Stavanger, Norway,  </w:t>
        <w:tab/>
        <w:tab/>
        <w:tab/>
        <w:t>1983 to 1984</w:t>
      </w:r>
    </w:p>
    <w:p>
      <w:pPr>
        <w:pStyle w:val="Normal"/>
        <w:rPr>
          <w:rFonts w:ascii="Arial" w:hAnsi="Arial" w:cs="Arial"/>
          <w:b/>
          <w:sz w:val="18"/>
        </w:rPr>
      </w:pPr>
      <w:r>
        <w:rPr>
          <w:rFonts w:cs="Arial" w:ascii="Arial" w:hAnsi="Arial"/>
          <w:b/>
          <w:sz w:val="18"/>
        </w:rPr>
        <w:t>Manager Production Engineering</w:t>
      </w:r>
    </w:p>
    <w:p>
      <w:pPr>
        <w:pStyle w:val="BodyText"/>
        <w:rPr/>
      </w:pPr>
      <w:r>
        <w:rPr/>
        <w:t>Managed two Production Engineering Groups, Well Completion &amp; Workover and Well Performance Evaluation, with a total professional staff of 17 engineers.  The Well Completion &amp; Workover Group was responsible for all well completion and workover activities on the Statfjord Platforms.  Well producing rates in excess of 60,000 Bbls/day with measured depths over 15,000 feet.  Well completions included seven-inch tubing and both conventional perforated and gravel packed methods.  The Well Performance Evaluation Group was responsible for the preparation and implementation of well testing, stimulating and logging programs and procedures.  Total field production of 800,000 Bbls/day.  Oversaw activities surrounding both production and drilling engineering.  Made numerous visits offshore during well completions, logging and testing activities.  Responsible for maintaining the offshore rotation schedules to ensure adequate Production Engineering coverage on a 24-hour basis.  Prepared the economic analysis for selecting Cameron, fire resistant wellheads for use on the Statfjord "B" and "C" Platforms.  An expenditure of approximately 300 million US dollars.</w:t>
      </w:r>
    </w:p>
    <w:p>
      <w:pPr>
        <w:pStyle w:val="Header"/>
        <w:tabs>
          <w:tab w:val="clear" w:pos="4320"/>
          <w:tab w:val="clear" w:pos="8640"/>
        </w:tabs>
        <w:rPr/>
      </w:pPr>
      <w:r>
        <w:rPr/>
      </w:r>
    </w:p>
    <w:p>
      <w:pPr>
        <w:pStyle w:val="Normal"/>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t xml:space="preserve">Mobil Exploration Norway, Inc. (MENI), Stavanger, Norway,  </w:t>
        <w:tab/>
        <w:tab/>
        <w:tab/>
        <w:t>1982 to 1983</w:t>
      </w:r>
    </w:p>
    <w:p>
      <w:pPr>
        <w:pStyle w:val="Normal"/>
        <w:rPr>
          <w:rFonts w:ascii="Arial" w:hAnsi="Arial" w:cs="Arial"/>
          <w:b/>
          <w:sz w:val="18"/>
        </w:rPr>
      </w:pPr>
      <w:r>
        <w:rPr>
          <w:rFonts w:cs="Arial" w:ascii="Arial" w:hAnsi="Arial"/>
          <w:b/>
          <w:sz w:val="18"/>
        </w:rPr>
        <w:t>Engineering Advisor</w:t>
      </w:r>
    </w:p>
    <w:p>
      <w:pPr>
        <w:pStyle w:val="Normal"/>
        <w:rPr>
          <w:rFonts w:ascii="Arial" w:hAnsi="Arial" w:cs="Arial"/>
          <w:sz w:val="18"/>
        </w:rPr>
      </w:pPr>
      <w:r>
        <w:rPr>
          <w:rFonts w:cs="Arial" w:ascii="Arial" w:hAnsi="Arial"/>
          <w:sz w:val="18"/>
        </w:rPr>
        <w:t>Administered work activities within the entire Engineering Department, which included Facilities, Production, Drilling and Reservoir engineering (135 personnel).  Responsibilities included the preparation and oversight of the yearly budget, five-year Objectives, manpower forecasts, recruiting requirements, and participation in special projects.  Special projects included the development and implementation of simultaneous drilling and production procedures, scheduling well completions, workovers, testing and stimulation, determining optimum producing rates and perforation intervals.  Attended and participated in numerous Statfjord Field Engineering Committee meetings to represent and protect Mobil's interests.</w:t>
      </w:r>
    </w:p>
    <w:p>
      <w:pPr>
        <w:pStyle w:val="Header"/>
        <w:tabs>
          <w:tab w:val="clear" w:pos="4320"/>
          <w:tab w:val="clear" w:pos="8640"/>
        </w:tabs>
        <w:rPr>
          <w:rFonts w:ascii="Arial" w:hAnsi="Arial" w:cs="Arial"/>
          <w:sz w:val="18"/>
        </w:rPr>
      </w:pPr>
      <w:r>
        <w:rPr>
          <w:rFonts w:cs="Arial" w:ascii="Arial" w:hAnsi="Arial"/>
          <w:sz w:val="18"/>
        </w:rPr>
      </w:r>
    </w:p>
    <w:p>
      <w:pPr>
        <w:pStyle w:val="Normal"/>
        <w:rPr>
          <w:rFonts w:ascii="Arial" w:hAnsi="Arial" w:cs="Arial"/>
          <w:b/>
          <w:sz w:val="18"/>
        </w:rPr>
      </w:pPr>
      <w:r>
        <w:rPr>
          <w:rFonts w:cs="Arial" w:ascii="Arial" w:hAnsi="Arial"/>
          <w:b/>
          <w:sz w:val="18"/>
        </w:rPr>
        <w:t xml:space="preserve">Mobil Exploration Norway, Inc. (MENI), Stavanger, Norway,  </w:t>
        <w:tab/>
        <w:tab/>
        <w:tab/>
        <w:t>1981 to 1982</w:t>
      </w:r>
    </w:p>
    <w:p>
      <w:pPr>
        <w:pStyle w:val="Normal"/>
        <w:rPr>
          <w:rFonts w:ascii="Arial" w:hAnsi="Arial" w:cs="Arial"/>
          <w:b/>
          <w:sz w:val="18"/>
        </w:rPr>
      </w:pPr>
      <w:r>
        <w:rPr>
          <w:rFonts w:cs="Arial" w:ascii="Arial" w:hAnsi="Arial"/>
          <w:b/>
          <w:sz w:val="18"/>
        </w:rPr>
        <w:t>Producing Coordinator</w:t>
      </w:r>
    </w:p>
    <w:p>
      <w:pPr>
        <w:pStyle w:val="BodyText"/>
        <w:rPr/>
      </w:pPr>
      <w:r>
        <w:rPr/>
        <w:t>Administered work activities within the entire Producing Department, which included the Engineering, Producing and Drilling Operations departments (600+ personnel). Responsibilities included the preparation and oversight of the yearly budget, five-year Objectives, manpower forecasts, and participation in special projects similar to those listed above.  Also attended and participated in numerous Statfjord Field Unit Owners Committee meetings to represent and protect Mobil's interests.</w:t>
      </w:r>
    </w:p>
    <w:p>
      <w:pPr>
        <w:pStyle w:val="Normal"/>
        <w:rPr>
          <w:rFonts w:ascii="Arial" w:hAnsi="Arial" w:cs="Arial"/>
          <w:sz w:val="18"/>
        </w:rPr>
      </w:pPr>
      <w:r>
        <w:rPr>
          <w:rFonts w:cs="Arial" w:ascii="Arial" w:hAnsi="Arial"/>
          <w:sz w:val="18"/>
        </w:rPr>
      </w:r>
    </w:p>
    <w:p>
      <w:pPr>
        <w:pStyle w:val="Normal"/>
        <w:rPr>
          <w:rFonts w:ascii="Arial" w:hAnsi="Arial" w:cs="Arial"/>
          <w:b/>
          <w:sz w:val="18"/>
        </w:rPr>
      </w:pPr>
      <w:r>
        <w:rPr>
          <w:rFonts w:cs="Arial" w:ascii="Arial" w:hAnsi="Arial"/>
          <w:b/>
          <w:sz w:val="18"/>
        </w:rPr>
        <w:t xml:space="preserve">Mobil Exploration Norway, Inc. (MENI), Stavanger, Norway,  </w:t>
        <w:tab/>
        <w:tab/>
        <w:tab/>
        <w:t xml:space="preserve">1981 </w:t>
      </w:r>
    </w:p>
    <w:p>
      <w:pPr>
        <w:pStyle w:val="Normal"/>
        <w:rPr>
          <w:rFonts w:ascii="Arial" w:hAnsi="Arial" w:cs="Arial"/>
          <w:b/>
          <w:sz w:val="18"/>
        </w:rPr>
      </w:pPr>
      <w:r>
        <w:rPr>
          <w:rFonts w:cs="Arial" w:ascii="Arial" w:hAnsi="Arial"/>
          <w:b/>
          <w:sz w:val="18"/>
        </w:rPr>
        <w:t>Senior Reservoir Engineer</w:t>
      </w:r>
    </w:p>
    <w:p>
      <w:pPr>
        <w:pStyle w:val="Normal"/>
        <w:rPr>
          <w:rFonts w:ascii="Arial" w:hAnsi="Arial" w:cs="Arial"/>
          <w:sz w:val="18"/>
        </w:rPr>
      </w:pPr>
      <w:r>
        <w:rPr>
          <w:rFonts w:cs="Arial" w:ascii="Arial" w:hAnsi="Arial"/>
          <w:sz w:val="18"/>
        </w:rPr>
        <w:t>Team leader for evaluating the Statfjord Field development and reservoir management plans including the associated economic evaluations.  Planned and implemented reservoir development and management objectives including the location of production and injection wells and the Statfjord Field coring program.</w:t>
      </w:r>
    </w:p>
    <w:p>
      <w:pPr>
        <w:pStyle w:val="Normal"/>
        <w:rPr>
          <w:rFonts w:ascii="Arial" w:hAnsi="Arial" w:cs="Arial"/>
          <w:sz w:val="18"/>
        </w:rPr>
      </w:pPr>
      <w:r>
        <w:rPr>
          <w:rFonts w:cs="Arial" w:ascii="Arial" w:hAnsi="Arial"/>
          <w:sz w:val="18"/>
        </w:rPr>
        <w:t>Analyzed pressure build-up tests, recommended production tests, perforation intervals</w:t>
      </w:r>
      <w:r>
        <w:rPr>
          <w:rFonts w:cs="Arial" w:ascii="Arial" w:hAnsi="Arial"/>
          <w:i/>
          <w:sz w:val="18"/>
        </w:rPr>
        <w:t>.</w:t>
      </w:r>
    </w:p>
    <w:p>
      <w:pPr>
        <w:pStyle w:val="Normal"/>
        <w:rPr>
          <w:rFonts w:ascii="Arial" w:hAnsi="Arial" w:cs="Arial"/>
          <w:sz w:val="18"/>
        </w:rPr>
      </w:pPr>
      <w:r>
        <w:rPr>
          <w:rFonts w:cs="Arial" w:ascii="Arial" w:hAnsi="Arial"/>
          <w:sz w:val="18"/>
        </w:rPr>
      </w:r>
    </w:p>
    <w:p>
      <w:pPr>
        <w:pStyle w:val="Normal"/>
        <w:rPr>
          <w:rFonts w:ascii="Arial" w:hAnsi="Arial" w:cs="Arial"/>
          <w:b/>
          <w:sz w:val="18"/>
        </w:rPr>
      </w:pPr>
      <w:r>
        <w:rPr>
          <w:rFonts w:cs="Arial" w:ascii="Arial" w:hAnsi="Arial"/>
          <w:b/>
          <w:sz w:val="18"/>
        </w:rPr>
        <w:t xml:space="preserve">Mobil Exploration and Production, Denver Division, Denver, Colorado,  </w:t>
        <w:tab/>
        <w:tab/>
        <w:t>1978 to 1981</w:t>
      </w:r>
    </w:p>
    <w:p>
      <w:pPr>
        <w:pStyle w:val="Normal"/>
        <w:rPr>
          <w:rFonts w:ascii="Arial" w:hAnsi="Arial" w:cs="Arial"/>
          <w:b/>
          <w:sz w:val="18"/>
        </w:rPr>
      </w:pPr>
      <w:r>
        <w:rPr>
          <w:rFonts w:cs="Arial" w:ascii="Arial" w:hAnsi="Arial"/>
          <w:b/>
          <w:sz w:val="18"/>
        </w:rPr>
        <w:t>Senior Reservoir Engineer</w:t>
      </w:r>
    </w:p>
    <w:p>
      <w:pPr>
        <w:pStyle w:val="Normal"/>
        <w:rPr>
          <w:rFonts w:ascii="Arial" w:hAnsi="Arial" w:cs="Arial"/>
          <w:sz w:val="18"/>
        </w:rPr>
      </w:pPr>
      <w:r>
        <w:rPr>
          <w:rFonts w:cs="Arial" w:ascii="Arial" w:hAnsi="Arial"/>
          <w:sz w:val="18"/>
        </w:rPr>
        <w:t>Performed reservoir-engineering studies on forty Mobil operated properties and on fifteen outside joint interest properties to increase production and protect Mobil's equity share. Results from engineering studies included the recommendation and implementation of drilling additional production and injection wells, changes in sucker rod pump design, production logging, well testing. Served as Mobil's representative during the equity redetermination of Prudhoe Bay.  Was a member of both the Common DataBase and Water Saturation Task Forces.  Analyzed log and core data from over 400 wells.  Worked closely with technical staff at Mobil's laboratories in Dallas. Assisted in college recruiting throughout the United States.</w:t>
      </w:r>
    </w:p>
    <w:p>
      <w:pPr>
        <w:pStyle w:val="Normal"/>
        <w:rPr>
          <w:rFonts w:ascii="Arial" w:hAnsi="Arial" w:cs="Arial"/>
          <w:sz w:val="18"/>
        </w:rPr>
      </w:pPr>
      <w:r>
        <w:rPr>
          <w:rFonts w:cs="Arial" w:ascii="Arial" w:hAnsi="Arial"/>
          <w:sz w:val="18"/>
        </w:rPr>
      </w:r>
    </w:p>
    <w:p>
      <w:pPr>
        <w:pStyle w:val="Normal"/>
        <w:rPr>
          <w:rFonts w:ascii="Arial" w:hAnsi="Arial" w:cs="Arial"/>
          <w:b/>
          <w:sz w:val="18"/>
        </w:rPr>
      </w:pPr>
      <w:r>
        <w:rPr>
          <w:rFonts w:cs="Arial" w:ascii="Arial" w:hAnsi="Arial"/>
          <w:b/>
          <w:sz w:val="18"/>
        </w:rPr>
        <w:t xml:space="preserve">Gulf Research and Development Corp., Houston, Texas,  </w:t>
        <w:tab/>
        <w:tab/>
        <w:tab/>
        <w:tab/>
        <w:t xml:space="preserve">1977 to 1978 </w:t>
      </w:r>
    </w:p>
    <w:p>
      <w:pPr>
        <w:pStyle w:val="Normal"/>
        <w:rPr>
          <w:rFonts w:ascii="Arial" w:hAnsi="Arial" w:cs="Arial"/>
          <w:sz w:val="18"/>
        </w:rPr>
      </w:pPr>
      <w:r>
        <w:rPr>
          <w:rFonts w:cs="Arial" w:ascii="Arial" w:hAnsi="Arial"/>
          <w:b/>
          <w:sz w:val="18"/>
        </w:rPr>
        <w:t>Reservoir Engineer</w:t>
      </w:r>
    </w:p>
    <w:p>
      <w:pPr>
        <w:pStyle w:val="Normal"/>
        <w:rPr/>
      </w:pPr>
      <w:r>
        <w:rPr>
          <w:rFonts w:cs="Arial" w:ascii="Arial" w:hAnsi="Arial"/>
          <w:sz w:val="18"/>
        </w:rPr>
        <w:t>Reservoir Engineer for enhanced oil recovery projects including steam floods, CO</w:t>
      </w:r>
      <w:r>
        <w:rPr>
          <w:rFonts w:cs="Arial" w:ascii="Arial" w:hAnsi="Arial"/>
          <w:position w:val="-6"/>
          <w:sz w:val="18"/>
        </w:rPr>
        <w:t>2</w:t>
      </w:r>
      <w:r>
        <w:rPr>
          <w:rFonts w:cs="Arial" w:ascii="Arial" w:hAnsi="Arial"/>
          <w:sz w:val="18"/>
        </w:rPr>
        <w:t xml:space="preserve"> injection and assisted in field pilot tests.  Also prepared reservoir characterization studies, pilot project screening for waterflood projects, low-tension waterfloods, reservoir data evaluations including field-tests, core analysis and special logging (pulse tests, log-inject-log tests).  Assisted in reservoir simulation studies using two and three dimensional black oil and compositional models.  Assisted in waterflood feasibility studies for fields in California.</w:t>
      </w:r>
    </w:p>
    <w:p>
      <w:pPr>
        <w:pStyle w:val="Normal"/>
        <w:rPr>
          <w:rFonts w:ascii="Arial" w:hAnsi="Arial" w:cs="Arial"/>
          <w:sz w:val="18"/>
        </w:rPr>
      </w:pPr>
      <w:r>
        <w:rPr>
          <w:rFonts w:cs="Arial" w:ascii="Arial" w:hAnsi="Arial"/>
          <w:sz w:val="18"/>
        </w:rPr>
      </w:r>
    </w:p>
    <w:p>
      <w:pPr>
        <w:pStyle w:val="Normal"/>
        <w:rPr>
          <w:rFonts w:ascii="Arial" w:hAnsi="Arial" w:cs="Arial"/>
          <w:b/>
          <w:sz w:val="18"/>
        </w:rPr>
      </w:pPr>
      <w:r>
        <w:rPr>
          <w:rFonts w:cs="Arial" w:ascii="Arial" w:hAnsi="Arial"/>
          <w:b/>
          <w:sz w:val="18"/>
        </w:rPr>
        <w:t xml:space="preserve">International Division of Atlantic Richfield, Los Angeles, California,  </w:t>
        <w:tab/>
        <w:tab/>
        <w:t xml:space="preserve">1975 to 1977 </w:t>
      </w:r>
    </w:p>
    <w:p>
      <w:pPr>
        <w:pStyle w:val="Normal"/>
        <w:rPr>
          <w:rFonts w:ascii="Arial" w:hAnsi="Arial" w:cs="Arial"/>
          <w:b/>
          <w:sz w:val="18"/>
        </w:rPr>
      </w:pPr>
      <w:r>
        <w:rPr>
          <w:rFonts w:cs="Arial" w:ascii="Arial" w:hAnsi="Arial"/>
          <w:b/>
          <w:sz w:val="18"/>
        </w:rPr>
        <w:t>Reservoir Engineer</w:t>
      </w:r>
    </w:p>
    <w:p>
      <w:pPr>
        <w:pStyle w:val="Normal"/>
        <w:rPr>
          <w:rFonts w:ascii="Arial" w:hAnsi="Arial" w:cs="Arial"/>
          <w:sz w:val="18"/>
        </w:rPr>
      </w:pPr>
      <w:r>
        <w:rPr>
          <w:rFonts w:cs="Arial" w:ascii="Arial" w:hAnsi="Arial"/>
          <w:sz w:val="18"/>
        </w:rPr>
        <w:t>Assisted with field operations regarding well workovers, logging and testing both onshore and offshore.</w:t>
      </w:r>
    </w:p>
    <w:p>
      <w:pPr>
        <w:pStyle w:val="Normal"/>
        <w:rPr>
          <w:rFonts w:ascii="Arial" w:hAnsi="Arial" w:cs="Arial"/>
          <w:sz w:val="18"/>
        </w:rPr>
      </w:pPr>
      <w:r>
        <w:rPr>
          <w:rFonts w:cs="Arial" w:ascii="Arial" w:hAnsi="Arial"/>
          <w:sz w:val="18"/>
        </w:rPr>
        <w:t>Assisted in reservoir simulation studies using a two dimensional black oil model for reservoirs in the Java Sea, Indonesia and the Sasson Field in the Persian Gulf offshore Iran to determine the placement of production and gas injection wells. Also Reservoir data evaluation including tubing flow performance pressures build-up analysis and core analysis.</w:t>
      </w:r>
    </w:p>
    <w:sectPr>
      <w:headerReference w:type="default" r:id="rId2"/>
      <w:headerReference w:type="first" r:id="rId3"/>
      <w:type w:val="nextPage"/>
      <w:pgSz w:w="12240" w:h="15840"/>
      <w:pgMar w:left="1800" w:right="1800" w:gutter="0" w:header="288" w:top="576" w:footer="0" w:bottom="5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i/>
        <w:i/>
        <w:sz w:val="16"/>
      </w:rPr>
    </w:pPr>
    <w:r>
      <w:rPr>
        <w:rFonts w:cs="Arial" w:ascii="Arial" w:hAnsi="Arial"/>
        <w:i/>
        <w:sz w:val="16"/>
      </w:rPr>
    </w:r>
  </w:p>
  <w:p>
    <w:pPr>
      <w:pStyle w:val="Header"/>
      <w:rPr>
        <w:rFonts w:ascii="Arial" w:hAnsi="Arial" w:cs="Arial"/>
        <w:i/>
        <w:i/>
        <w:sz w:val="16"/>
      </w:rPr>
    </w:pPr>
    <w:r>
      <w:rPr>
        <w:rFonts w:cs="Arial" w:ascii="Arial" w:hAnsi="Arial"/>
        <w:i/>
        <w:sz w:val="16"/>
      </w:rPr>
      <w:t>Anthony Gelotti</w:t>
    </w:r>
  </w:p>
  <w:p>
    <w:pPr>
      <w:pStyle w:val="Header"/>
      <w:rPr/>
    </w:pPr>
    <w:r>
      <w:rPr>
        <w:rFonts w:cs="Arial" w:ascii="Arial" w:hAnsi="Arial"/>
        <w:i/>
        <w:sz w:val="16"/>
      </w:rPr>
      <w:t xml:space="preserve">Page </w:t>
    </w:r>
    <w:r>
      <w:rPr>
        <w:rStyle w:val="PageNumber"/>
        <w:rFonts w:cs="Arial" w:ascii="Arial" w:hAnsi="Arial"/>
        <w:i/>
        <w:sz w:val="16"/>
      </w:rPr>
      <w:fldChar w:fldCharType="begin"/>
    </w:r>
    <w:r>
      <w:rPr>
        <w:rStyle w:val="PageNumber"/>
        <w:sz w:val="16"/>
        <w:i/>
        <w:rFonts w:cs="Arial" w:ascii="Arial" w:hAnsi="Arial"/>
      </w:rPr>
      <w:instrText xml:space="preserve"> PAGE </w:instrText>
    </w:r>
    <w:r>
      <w:rPr>
        <w:rStyle w:val="PageNumber"/>
        <w:sz w:val="16"/>
        <w:i/>
        <w:rFonts w:cs="Arial" w:ascii="Arial" w:hAnsi="Arial"/>
      </w:rPr>
      <w:fldChar w:fldCharType="separate"/>
    </w:r>
    <w:r>
      <w:rPr>
        <w:rStyle w:val="PageNumber"/>
        <w:sz w:val="16"/>
        <w:i/>
        <w:rFonts w:cs="Arial" w:ascii="Arial" w:hAnsi="Arial"/>
      </w:rPr>
      <w:t>3</w:t>
    </w:r>
    <w:r>
      <w:rPr>
        <w:rStyle w:val="PageNumber"/>
        <w:sz w:val="16"/>
        <w:i/>
        <w:rFonts w:cs="Arial" w:ascii="Arial" w:hAnsi="Arial"/>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rPr>
  </w:style>
  <w:style w:type="paragraph" w:styleId="Heading2">
    <w:name w:val="heading 2"/>
    <w:basedOn w:val="Normal"/>
    <w:next w:val="Normal"/>
    <w:qFormat/>
    <w:pPr>
      <w:keepNext w:val="true"/>
      <w:numPr>
        <w:ilvl w:val="1"/>
        <w:numId w:val="1"/>
      </w:numPr>
      <w:ind w:hanging="288" w:start="288" w:end="0"/>
      <w:outlineLvl w:val="1"/>
    </w:pPr>
    <w:rPr>
      <w:b/>
    </w:rPr>
  </w:style>
  <w:style w:type="paragraph" w:styleId="Heading3">
    <w:name w:val="heading 3"/>
    <w:basedOn w:val="Normal"/>
    <w:next w:val="Normal"/>
    <w:qFormat/>
    <w:pPr>
      <w:keepNext w:val="true"/>
      <w:numPr>
        <w:ilvl w:val="2"/>
        <w:numId w:val="1"/>
      </w:numPr>
      <w:outlineLvl w:val="2"/>
    </w:pPr>
    <w:rPr>
      <w:rFonts w:ascii="Arial" w:hAnsi="Arial" w:cs="Arial"/>
      <w:b/>
      <w:sz w:val="18"/>
    </w:rPr>
  </w:style>
  <w:style w:type="paragraph" w:styleId="Heading4">
    <w:name w:val="heading 4"/>
    <w:basedOn w:val="Normal"/>
    <w:next w:val="Normal"/>
    <w:qFormat/>
    <w:pPr>
      <w:keepNext w:val="true"/>
      <w:numPr>
        <w:ilvl w:val="3"/>
        <w:numId w:val="1"/>
      </w:numPr>
      <w:ind w:hanging="0" w:start="0" w:end="0"/>
      <w:outlineLvl w:val="3"/>
    </w:pPr>
    <w:rPr>
      <w:b/>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St1z0">
    <w:name w:val="WW8NumSt1z0"/>
    <w:qFormat/>
    <w:rPr>
      <w:rFonts w:ascii="Symbol" w:hAnsi="Symbol" w:cs="Symbol"/>
    </w:rPr>
  </w:style>
  <w:style w:type="character" w:styleId="WW8NumSt5z0">
    <w:name w:val="WW8NumSt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2001-01-23T09:45:00Z</dcterms:created>
  <dc:creator>A. W. D'Ambrosio</dc:creator>
  <dc:description/>
  <dc:language>en-CA</dc:language>
  <cp:lastModifiedBy>Enron user</cp:lastModifiedBy>
  <cp:lastPrinted>2001-01-24T21:30:00Z</cp:lastPrinted>
  <dcterms:modified xsi:type="dcterms:W3CDTF">2001-01-28T09:03:00Z</dcterms:modified>
  <cp:revision>18</cp:revision>
  <dc:subject/>
  <dc:title>Rsume for Fred</dc:title>
</cp:coreProperties>
</file>