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ms Rmn" w:hAnsi="Tms Rmn" w:cs="Tms Rmn"/>
          <w:i/>
          <w:i/>
          <w:sz w:val="20"/>
        </w:rPr>
      </w:pPr>
      <w:r>
        <w:rPr>
          <w:rFonts w:cs="Tms Rmn" w:ascii="Tms Rmn" w:hAnsi="Tms Rmn"/>
          <w:i/>
          <w:sz w:val="20"/>
        </w:rPr>
      </w:r>
    </w:p>
    <w:p>
      <w:pPr>
        <w:pStyle w:val="Normal"/>
        <w:rPr/>
      </w:pPr>
      <w:r>
        <w:fldChar w:fldCharType="begin"/>
      </w:r>
      <w:r>
        <w:rPr>
          <w:sz w:val="22"/>
          <w:i/>
          <w:b/>
          <w:rFonts w:cs="Tms Rmn" w:ascii="Tms Rmn" w:hAnsi="Tms Rmn"/>
        </w:rPr>
        <w:instrText xml:space="preserve">ADVANCE \d4</w:instrText>
      </w:r>
      <w:r>
        <w:rPr>
          <w:rFonts w:cs="Tms Rmn" w:ascii="Tms Rmn" w:hAnsi="Tms Rmn"/>
          <w:b/>
          <w:i/>
          <w:sz w:val="22"/>
        </w:rPr>
      </w:r>
      <w:r>
        <w:rPr>
          <w:sz w:val="22"/>
          <w:i/>
          <w:b/>
          <w:rFonts w:cs="Tms Rmn" w:ascii="Tms Rmn" w:hAnsi="Tms Rmn"/>
        </w:rPr>
        <w:fldChar w:fldCharType="separate"/>
      </w:r>
      <w:r>
        <w:rPr>
          <w:rFonts w:cs="Tms Rmn" w:ascii="Tms Rmn" w:hAnsi="Tms Rmn"/>
          <w:b/>
          <w:i/>
          <w:sz w:val="22"/>
        </w:rPr>
      </w:r>
      <w:r>
        <w:rPr>
          <w:rFonts w:cs="Tms Rmn" w:ascii="Tms Rmn" w:hAnsi="Tms Rmn"/>
          <w:b/>
          <w:i/>
          <w:sz w:val="22"/>
        </w:rPr>
      </w:r>
      <w:r>
        <w:rPr>
          <w:sz w:val="22"/>
          <w:i/>
          <w:b/>
          <w:rFonts w:cs="Tms Rmn" w:ascii="Tms Rmn" w:hAnsi="Tms Rmn"/>
        </w:rPr>
        <w:fldChar w:fldCharType="end"/>
      </w:r>
      <w:r>
        <w:rPr>
          <w:rFonts w:cs="Tms Rmn" w:ascii="Tms Rmn" w:hAnsi="Tms Rmn"/>
          <w:b/>
          <w:i/>
          <w:sz w:val="22"/>
        </w:rPr>
        <w:t xml:space="preserve">BILL LOCKYER </w:t>
      </w:r>
      <w:r>
        <w:fldChar w:fldCharType="begin"/>
      </w:r>
      <w:r>
        <w:rPr>
          <w:sz w:val="22"/>
          <w:i/>
          <w:b/>
          <w:rFonts w:cs="Tms Rmn" w:ascii="Tms Rmn" w:hAnsi="Tms Rmn"/>
        </w:rPr>
        <w:instrText xml:space="preserve">ADVANCE \x360</w:instrText>
      </w:r>
      <w:r>
        <w:rPr>
          <w:rFonts w:cs="Tms Rmn" w:ascii="Tms Rmn" w:hAnsi="Tms Rmn"/>
          <w:b/>
          <w:i/>
          <w:sz w:val="22"/>
        </w:rPr>
      </w:r>
      <w:r>
        <w:rPr>
          <w:sz w:val="22"/>
          <w:i/>
          <w:b/>
          <w:rFonts w:cs="Tms Rmn" w:ascii="Tms Rmn" w:hAnsi="Tms Rmn"/>
        </w:rPr>
        <w:fldChar w:fldCharType="separate"/>
      </w:r>
      <w:r>
        <w:rPr>
          <w:rFonts w:cs="Tms Rmn" w:ascii="Tms Rmn" w:hAnsi="Tms Rmn"/>
          <w:b/>
          <w:i/>
          <w:sz w:val="22"/>
        </w:rPr>
      </w:r>
      <w:r>
        <w:rPr>
          <w:rFonts w:cs="Tms Rmn" w:ascii="Tms Rmn" w:hAnsi="Tms Rmn"/>
          <w:b/>
          <w:i/>
          <w:sz w:val="22"/>
        </w:rPr>
      </w:r>
      <w:r>
        <w:rPr>
          <w:sz w:val="22"/>
          <w:i/>
          <w:b/>
          <w:rFonts w:cs="Tms Rmn" w:ascii="Tms Rmn" w:hAnsi="Tms Rmn"/>
        </w:rPr>
        <w:fldChar w:fldCharType="end"/>
      </w:r>
      <w:r>
        <w:rPr>
          <w:rFonts w:cs="Tms Rmn" w:ascii="Tms Rmn" w:hAnsi="Tms Rmn"/>
          <w:b/>
          <w:i/>
          <w:sz w:val="22"/>
        </w:rPr>
        <w:t xml:space="preserve">State of California </w:t>
      </w:r>
    </w:p>
    <w:p>
      <w:pPr>
        <w:pStyle w:val="Normal"/>
        <w:spacing w:lineRule="auto" w:line="120"/>
        <w:rPr>
          <w:rFonts w:ascii="Tms Rmn" w:hAnsi="Tms Rmn" w:cs="Tms Rmn"/>
          <w:sz w:val="22"/>
        </w:rPr>
      </w:pPr>
      <w:r>
        <w:rPr>
          <w:rFonts w:cs="Tms Rmn" w:ascii="Tms Rmn" w:hAnsi="Tms Rmn"/>
          <w:b/>
          <w:i/>
          <w:sz w:val="22"/>
        </w:rPr>
        <w:t xml:space="preserve">Attorney General </w:t>
      </w:r>
      <w:r>
        <w:fldChar w:fldCharType="begin"/>
      </w:r>
      <w:r>
        <w:rPr>
          <w:sz w:val="22"/>
          <w:i/>
          <w:b/>
          <w:rFonts w:cs="Tms Rmn" w:ascii="Tms Rmn" w:hAnsi="Tms Rmn"/>
        </w:rPr>
        <w:instrText xml:space="preserve">ADVANCE \x303</w:instrText>
      </w:r>
      <w:r>
        <w:rPr>
          <w:rFonts w:cs="Tms Rmn" w:ascii="Tms Rmn" w:hAnsi="Tms Rmn"/>
          <w:b/>
          <w:i/>
          <w:sz w:val="22"/>
        </w:rPr>
      </w:r>
      <w:r>
        <w:rPr>
          <w:sz w:val="22"/>
          <w:i/>
          <w:b/>
          <w:rFonts w:cs="Tms Rmn" w:ascii="Tms Rmn" w:hAnsi="Tms Rmn"/>
        </w:rPr>
        <w:fldChar w:fldCharType="separate"/>
      </w:r>
      <w:r>
        <w:rPr>
          <w:rFonts w:cs="Tms Rmn" w:ascii="Tms Rmn" w:hAnsi="Tms Rmn"/>
          <w:b/>
          <w:i/>
          <w:sz w:val="22"/>
        </w:rPr>
      </w:r>
      <w:r>
        <w:rPr>
          <w:rFonts w:cs="Tms Rmn" w:ascii="Tms Rmn" w:hAnsi="Tms Rmn"/>
          <w:b/>
          <w:i/>
          <w:sz w:val="22"/>
        </w:rPr>
      </w:r>
      <w:r>
        <w:rPr>
          <w:sz w:val="22"/>
          <w:i/>
          <w:b/>
          <w:rFonts w:cs="Tms Rmn" w:ascii="Tms Rmn" w:hAnsi="Tms Rmn"/>
        </w:rPr>
        <w:fldChar w:fldCharType="end"/>
      </w:r>
      <w:r>
        <w:rPr>
          <w:rFonts w:cs="Tms Rmn" w:ascii="Tms Rmn" w:hAnsi="Tms Rmn"/>
          <w:b/>
          <w:i/>
          <w:sz w:val="22"/>
        </w:rPr>
        <w:t xml:space="preserve">DEPARTMENT OF JUSTICE </w:t>
      </w:r>
    </w:p>
    <w:p>
      <w:pPr>
        <w:pStyle w:val="Normal"/>
        <w:rPr>
          <w:rFonts w:ascii="Tms Rmn" w:hAnsi="Tms Rmn" w:cs="Tms Rmn"/>
          <w:sz w:val="18"/>
        </w:rPr>
      </w:pPr>
      <w:r>
        <mc:AlternateContent>
          <mc:Choice Requires="wps">
            <w:drawing>
              <wp:anchor behindDoc="1" distT="0" distB="0" distL="114935" distR="114935" simplePos="0" locked="0" layoutInCell="0" allowOverlap="1" relativeHeight="2">
                <wp:simplePos x="0" y="0"/>
                <wp:positionH relativeFrom="page">
                  <wp:posOffset>457200</wp:posOffset>
                </wp:positionH>
                <wp:positionV relativeFrom="paragraph">
                  <wp:posOffset>635</wp:posOffset>
                </wp:positionV>
                <wp:extent cx="6858000" cy="17780"/>
                <wp:effectExtent l="0" t="0" r="0" b="0"/>
                <wp:wrapNone/>
                <wp:docPr id="1" name=""/>
                <a:graphic xmlns:a="http://schemas.openxmlformats.org/drawingml/2006/main">
                  <a:graphicData uri="http://schemas.microsoft.com/office/word/2010/wordprocessingShape">
                    <wps:wsp>
                      <wps:cNvSpPr/>
                      <wps:spPr>
                        <a:xfrm>
                          <a:off x="0" y="0"/>
                          <a:ext cx="6858000" cy="176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6pt;margin-top:0pt;width:539.95pt;height:1.35pt;mso-wrap-style:none;v-text-anchor:middle;mso-position-horizontal-relative:page">
                <v:fill o:detectmouseclick="t" type="solid" color2="white"/>
                <v:stroke color="#3465a4" joinstyle="round" endcap="flat"/>
                <w10:wrap type="none"/>
              </v:rect>
            </w:pict>
          </mc:Fallback>
        </mc:AlternateContent>
      </w:r>
      <w:r>
        <w:fldChar w:fldCharType="begin"/>
      </w:r>
      <w:r>
        <w:rPr>
          <w:sz w:val="22"/>
          <w:rFonts w:cs="Tms Rmn" w:ascii="Tms Rmn" w:hAnsi="Tms Rmn"/>
        </w:rPr>
        <w:instrText xml:space="preserve">ADVANCE \u18</w:instrText>
      </w:r>
      <w:r/>
      <w:r>
        <w:rPr>
          <w:rFonts w:cs="Tms Rmn" w:ascii="Tms Rmn" w:hAnsi="Tms Rmn"/>
          <w:sz w:val="22"/>
        </w:rPr>
      </w:r>
      <w:r>
        <w:rPr>
          <w:sz w:val="22"/>
          <w:rFonts w:cs="Tms Rmn" w:ascii="Tms Rmn" w:hAnsi="Tms Rmn"/>
        </w:rPr>
        <w:fldChar w:fldCharType="separate"/>
      </w:r>
      <w:r>
        <w:rPr>
          <w:rFonts w:cs="Tms Rmn" w:ascii="Tms Rmn" w:hAnsi="Tms Rmn"/>
          <w:sz w:val="22"/>
        </w:rPr>
      </w:r>
      <w:r/>
      <w:r>
        <w:rPr>
          <w:sz w:val="22"/>
          <w:rFonts w:cs="Tms Rmn" w:ascii="Tms Rmn" w:hAnsi="Tms Rmn"/>
        </w:rPr>
        <w:fldChar w:fldCharType="end"/>
      </w:r>
      <w:r>
        <w:rPr>
          <w:rFonts w:cs="Tms Rmn" w:ascii="Tms Rmn" w:hAnsi="Tms Rmn"/>
          <w:sz w:val="22"/>
        </w:rPr>
      </w:r>
    </w:p>
    <w:p>
      <w:pPr>
        <w:pStyle w:val="Normal"/>
        <w:tabs>
          <w:tab w:val="clear" w:pos="720"/>
          <w:tab w:val="right" w:pos="10800" w:leader="none"/>
        </w:tabs>
        <w:spacing w:lineRule="auto" w:line="192"/>
        <w:rPr>
          <w:rFonts w:ascii="Tms Rmn" w:hAnsi="Tms Rmn" w:cs="Tms Rmn"/>
          <w:sz w:val="18"/>
        </w:rPr>
      </w:pPr>
      <w:r>
        <w:rPr>
          <w:rFonts w:cs="Tms Rmn" w:ascii="Tms Rmn" w:hAnsi="Tms Rmn"/>
          <w:sz w:val="18"/>
        </w:rPr>
        <w:tab/>
        <w:t>455 GOLDEN GATE AVENUE, SUITE 11000</w:t>
      </w:r>
    </w:p>
    <w:p>
      <w:pPr>
        <w:pStyle w:val="Normal"/>
        <w:tabs>
          <w:tab w:val="clear" w:pos="720"/>
          <w:tab w:val="right" w:pos="10800" w:leader="none"/>
        </w:tabs>
        <w:spacing w:lineRule="auto" w:line="192"/>
        <w:rPr>
          <w:rFonts w:ascii="Tms Rmn" w:hAnsi="Tms Rmn" w:cs="Tms Rmn"/>
          <w:sz w:val="18"/>
        </w:rPr>
      </w:pPr>
      <w:r>
        <w:rPr>
          <w:rFonts w:cs="Tms Rmn" w:ascii="Tms Rmn" w:hAnsi="Tms Rmn"/>
          <w:sz w:val="18"/>
        </w:rPr>
        <w:tab/>
        <w:t>SAN FRANCISCO, CA 94102-7004</w:t>
      </w:r>
    </w:p>
    <w:p>
      <w:pPr>
        <w:pStyle w:val="Normal"/>
        <w:tabs>
          <w:tab w:val="clear" w:pos="720"/>
          <w:tab w:val="right" w:pos="10800" w:leader="none"/>
        </w:tabs>
        <w:spacing w:lineRule="auto" w:line="192"/>
        <w:rPr>
          <w:rFonts w:ascii="Tms Rmn" w:hAnsi="Tms Rmn" w:cs="Tms Rmn"/>
          <w:sz w:val="18"/>
        </w:rPr>
      </w:pPr>
      <w:r>
        <w:rPr>
          <w:rFonts w:cs="Tms Rmn" w:ascii="Tms Rmn" w:hAnsi="Tms Rmn"/>
          <w:sz w:val="18"/>
        </w:rPr>
        <w:tab/>
      </w:r>
    </w:p>
    <w:p>
      <w:pPr>
        <w:pStyle w:val="Normal"/>
        <w:spacing w:lineRule="auto" w:line="192"/>
        <w:rPr>
          <w:rFonts w:ascii="Tms Rmn" w:hAnsi="Tms Rmn" w:cs="Tms Rmn"/>
          <w:sz w:val="18"/>
        </w:rPr>
      </w:pPr>
      <w:r>
        <w:rPr>
          <w:rFonts w:cs="Tms Rmn" w:ascii="Tms Rmn" w:hAnsi="Tms Rmn"/>
          <w:sz w:val="18"/>
        </w:rPr>
      </w:r>
    </w:p>
    <w:p>
      <w:pPr>
        <w:pStyle w:val="Normal"/>
        <w:tabs>
          <w:tab w:val="clear" w:pos="720"/>
          <w:tab w:val="right" w:pos="10800" w:leader="none"/>
        </w:tabs>
        <w:spacing w:lineRule="auto" w:line="192"/>
        <w:rPr/>
      </w:pPr>
      <w:r>
        <w:rPr>
          <w:rFonts w:cs="Tms Rmn" w:ascii="Tms Rmn" w:hAnsi="Tms Rmn"/>
          <w:sz w:val="18"/>
        </w:rPr>
        <w:tab/>
      </w:r>
      <w:r>
        <w:rPr>
          <w:rFonts w:cs="Tms Rmn" w:ascii="Tms Rmn" w:hAnsi="Tms Rmn"/>
          <w:sz w:val="20"/>
        </w:rPr>
        <w:t xml:space="preserve">  </w:t>
      </w:r>
    </w:p>
    <w:p>
      <w:pPr>
        <w:pStyle w:val="Normal"/>
        <w:tabs>
          <w:tab w:val="clear" w:pos="720"/>
          <w:tab w:val="right" w:pos="10800" w:leader="none"/>
        </w:tabs>
        <w:spacing w:lineRule="auto" w:line="192"/>
        <w:rPr>
          <w:rFonts w:ascii="Tms Rmn" w:hAnsi="Tms Rmn" w:cs="Tms Rmn"/>
          <w:sz w:val="20"/>
        </w:rPr>
      </w:pPr>
      <w:r>
        <w:rPr>
          <w:rFonts w:cs="Tms Rmn" w:ascii="Tms Rmn" w:hAnsi="Tms Rmn"/>
          <w:sz w:val="20"/>
        </w:rPr>
        <w:tab/>
        <w:t>Telephone:  (415) 703</w:t>
        <w:noBreakHyphen/>
        <w:t>1404</w:t>
      </w:r>
    </w:p>
    <w:p>
      <w:pPr>
        <w:pStyle w:val="Normal"/>
        <w:tabs>
          <w:tab w:val="clear" w:pos="720"/>
          <w:tab w:val="right" w:pos="10800" w:leader="none"/>
        </w:tabs>
        <w:spacing w:lineRule="auto" w:line="192"/>
        <w:rPr>
          <w:rFonts w:ascii="Tms Rmn" w:hAnsi="Tms Rmn" w:cs="Tms Rmn"/>
          <w:sz w:val="20"/>
        </w:rPr>
      </w:pPr>
      <w:r>
        <w:rPr>
          <w:rFonts w:cs="Tms Rmn" w:ascii="Tms Rmn" w:hAnsi="Tms Rmn"/>
          <w:sz w:val="20"/>
        </w:rPr>
        <w:tab/>
        <w:t xml:space="preserve">Facsimile:  (415) 703 </w:t>
        <w:noBreakHyphen/>
        <w:t>5480</w:t>
      </w:r>
    </w:p>
    <w:p>
      <w:pPr>
        <w:pStyle w:val="Normal"/>
        <w:tabs>
          <w:tab w:val="clear" w:pos="720"/>
          <w:tab w:val="right" w:pos="10800" w:leader="none"/>
        </w:tabs>
        <w:spacing w:lineRule="auto" w:line="192"/>
        <w:rPr>
          <w:rFonts w:ascii="Tms Rmn" w:hAnsi="Tms Rmn" w:cs="Tms Rmn"/>
          <w:sz w:val="20"/>
        </w:rPr>
      </w:pPr>
      <w:r>
        <w:rPr>
          <w:rFonts w:cs="Tms Rmn" w:ascii="Tms Rmn" w:hAnsi="Tms Rmn"/>
          <w:sz w:val="20"/>
        </w:rPr>
        <w:tab/>
        <w:t>E-Mail: rochmar@hdcdojnet.state.ca.us</w:t>
      </w:r>
    </w:p>
    <w:p>
      <w:pPr>
        <w:pStyle w:val="Normal"/>
        <w:rPr>
          <w:rFonts w:ascii="Tms Rmn" w:hAnsi="Tms Rmn" w:cs="Tms Rmn"/>
          <w:sz w:val="20"/>
        </w:rPr>
      </w:pPr>
      <w:r>
        <w:rPr>
          <w:rFonts w:cs="Tms Rmn" w:ascii="Tms Rmn" w:hAnsi="Tms Rmn"/>
          <w:sz w:val="20"/>
        </w:rPr>
      </w:r>
    </w:p>
    <w:p>
      <w:pPr>
        <w:pStyle w:val="Normal"/>
        <w:tabs>
          <w:tab w:val="clear" w:pos="720"/>
          <w:tab w:val="center" w:pos="5400" w:leader="none"/>
        </w:tabs>
        <w:ind w:start="720" w:end="720"/>
        <w:rPr>
          <w:rFonts w:ascii="Tms Rmn" w:hAnsi="Tms Rmn" w:cs="Tms Rmn"/>
        </w:rPr>
      </w:pPr>
      <w:r>
        <w:rPr>
          <w:rFonts w:cs="Tms Rmn" w:ascii="Tms Rmn" w:hAnsi="Tms Rmn"/>
        </w:rPr>
        <w:tab/>
        <w:t>October 13, 2000</w:t>
      </w:r>
    </w:p>
    <w:p>
      <w:pPr>
        <w:pStyle w:val="Normal"/>
        <w:tabs>
          <w:tab w:val="clear" w:pos="720"/>
          <w:tab w:val="left" w:pos="-720" w:leader="none"/>
        </w:tabs>
        <w:ind w:start="720" w:end="720"/>
        <w:rPr>
          <w:rFonts w:ascii="Tms Rmn" w:hAnsi="Tms Rmn" w:cs="Tms Rmn"/>
        </w:rPr>
      </w:pPr>
      <w:r>
        <w:rPr>
          <w:rFonts w:cs="Tms Rmn" w:ascii="Tms Rmn" w:hAnsi="Tms Rmn"/>
        </w:rPr>
      </w:r>
    </w:p>
    <w:p>
      <w:pPr>
        <w:pStyle w:val="Normal"/>
        <w:tabs>
          <w:tab w:val="clear" w:pos="720"/>
          <w:tab w:val="left" w:pos="-720" w:leader="none"/>
        </w:tabs>
        <w:ind w:start="720" w:end="720"/>
        <w:rPr>
          <w:rFonts w:ascii="Tms Rmn" w:hAnsi="Tms Rmn" w:cs="Tms Rmn"/>
        </w:rPr>
      </w:pPr>
      <w:r>
        <w:rPr>
          <w:rFonts w:cs="Tms Rmn" w:ascii="Tms Rmn" w:hAnsi="Tms Rmn"/>
        </w:rPr>
        <w:t>Mr. Scott D. Rasmussen</w:t>
      </w:r>
    </w:p>
    <w:p>
      <w:pPr>
        <w:pStyle w:val="Normal"/>
        <w:tabs>
          <w:tab w:val="clear" w:pos="720"/>
          <w:tab w:val="left" w:pos="-720" w:leader="none"/>
        </w:tabs>
        <w:ind w:start="720" w:end="720"/>
        <w:rPr>
          <w:rFonts w:ascii="Tms Rmn" w:hAnsi="Tms Rmn" w:cs="Tms Rmn"/>
        </w:rPr>
      </w:pPr>
      <w:r>
        <w:rPr>
          <w:rFonts w:cs="Tms Rmn" w:ascii="Tms Rmn" w:hAnsi="Tms Rmn"/>
        </w:rPr>
        <w:t>California Power Exchange</w:t>
      </w:r>
    </w:p>
    <w:p>
      <w:pPr>
        <w:pStyle w:val="Normal"/>
        <w:tabs>
          <w:tab w:val="clear" w:pos="720"/>
          <w:tab w:val="left" w:pos="-720" w:leader="none"/>
        </w:tabs>
        <w:ind w:start="720" w:end="720"/>
        <w:rPr>
          <w:rFonts w:ascii="Tms Rmn" w:hAnsi="Tms Rmn" w:cs="Tms Rmn"/>
        </w:rPr>
      </w:pPr>
      <w:r>
        <w:rPr>
          <w:rFonts w:cs="Tms Rmn" w:ascii="Tms Rmn" w:hAnsi="Tms Rmn"/>
        </w:rPr>
        <w:t>200 S. Los Robles Ave., Suite 400</w:t>
      </w:r>
    </w:p>
    <w:p>
      <w:pPr>
        <w:pStyle w:val="Normal"/>
        <w:tabs>
          <w:tab w:val="clear" w:pos="720"/>
          <w:tab w:val="right" w:pos="10080" w:leader="none"/>
        </w:tabs>
        <w:ind w:start="720" w:end="720"/>
        <w:rPr>
          <w:rFonts w:ascii="Tms Rmn" w:hAnsi="Tms Rmn" w:cs="Tms Rmn"/>
        </w:rPr>
      </w:pPr>
      <w:r>
        <w:rPr>
          <w:rFonts w:cs="Tms Rmn" w:ascii="Tms Rmn" w:hAnsi="Tms Rmn"/>
        </w:rPr>
        <w:t>Pasadena, California 91101-2482</w:t>
        <w:tab/>
      </w:r>
    </w:p>
    <w:p>
      <w:pPr>
        <w:pStyle w:val="Normal"/>
        <w:tabs>
          <w:tab w:val="clear" w:pos="720"/>
          <w:tab w:val="left" w:pos="-720" w:leader="none"/>
        </w:tabs>
        <w:ind w:start="720" w:end="720"/>
        <w:rPr>
          <w:rFonts w:ascii="Tms Rmn" w:hAnsi="Tms Rmn" w:cs="Tms Rmn"/>
        </w:rPr>
      </w:pPr>
      <w:r>
        <w:rPr>
          <w:rFonts w:cs="Tms Rmn" w:ascii="Tms Rmn" w:hAnsi="Tms Rmn"/>
        </w:rPr>
      </w:r>
    </w:p>
    <w:p>
      <w:pPr>
        <w:pStyle w:val="Normal"/>
        <w:tabs>
          <w:tab w:val="clear" w:pos="720"/>
          <w:tab w:val="left" w:pos="-720" w:leader="none"/>
        </w:tabs>
        <w:ind w:start="720" w:end="720"/>
        <w:rPr>
          <w:rFonts w:ascii="Tms Rmn" w:hAnsi="Tms Rmn" w:cs="Tms Rmn"/>
        </w:rPr>
      </w:pPr>
      <w:r>
        <w:rPr>
          <w:rFonts w:cs="Tms Rmn" w:ascii="Tms Rmn" w:hAnsi="Tms Rmn"/>
        </w:rPr>
        <w:t>RE:</w:t>
        <w:tab/>
        <w:t>Confidential Treatment of Individual Market Participant Data</w:t>
      </w:r>
    </w:p>
    <w:p>
      <w:pPr>
        <w:pStyle w:val="Normal"/>
        <w:tabs>
          <w:tab w:val="clear" w:pos="720"/>
          <w:tab w:val="left" w:pos="-720" w:leader="none"/>
        </w:tabs>
        <w:ind w:start="1440" w:end="720"/>
        <w:rPr>
          <w:rFonts w:ascii="Tms Rmn" w:hAnsi="Tms Rmn" w:cs="Tms Rmn"/>
        </w:rPr>
      </w:pPr>
      <w:r>
        <w:rPr>
          <w:rFonts w:cs="Tms Rmn" w:ascii="Tms Rmn" w:hAnsi="Tms Rmn"/>
          <w:u w:val="single"/>
        </w:rPr>
        <w:t>In the Matter of the Investigation of Possibly Unlawful, Unfair, or Anti-Competitive Behavior Affecting Electricity Prices In California</w:t>
      </w:r>
    </w:p>
    <w:p>
      <w:pPr>
        <w:pStyle w:val="Normal"/>
        <w:tabs>
          <w:tab w:val="clear" w:pos="720"/>
          <w:tab w:val="left" w:pos="-720" w:leader="none"/>
        </w:tabs>
        <w:ind w:start="720" w:end="720"/>
        <w:rPr>
          <w:rFonts w:ascii="Tms Rmn" w:hAnsi="Tms Rmn" w:cs="Tms Rmn"/>
        </w:rPr>
      </w:pPr>
      <w:r>
        <w:rPr>
          <w:rFonts w:cs="Tms Rmn" w:ascii="Tms Rmn" w:hAnsi="Tms Rmn"/>
        </w:rPr>
      </w:r>
    </w:p>
    <w:p>
      <w:pPr>
        <w:pStyle w:val="Normal"/>
        <w:tabs>
          <w:tab w:val="clear" w:pos="720"/>
          <w:tab w:val="left" w:pos="-720" w:leader="none"/>
        </w:tabs>
        <w:ind w:start="720" w:end="720"/>
        <w:rPr/>
      </w:pPr>
      <w:r>
        <w:rPr>
          <w:rFonts w:cs="Tms Rmn" w:ascii="Tms Rmn" w:hAnsi="Tms Rmn"/>
        </w:rPr>
        <w:t>Dear Mr. Rasmussen</w:t>
      </w:r>
      <w:r>
        <w:rPr/>
        <w:t>:</w:t>
      </w:r>
    </w:p>
    <w:p>
      <w:pPr>
        <w:pStyle w:val="Normal"/>
        <w:tabs>
          <w:tab w:val="clear" w:pos="720"/>
          <w:tab w:val="left" w:pos="-720" w:leader="none"/>
        </w:tabs>
        <w:ind w:start="720" w:end="720"/>
        <w:rPr/>
      </w:pPr>
      <w:r>
        <w:rPr/>
      </w:r>
    </w:p>
    <w:p>
      <w:pPr>
        <w:pStyle w:val="Normal"/>
        <w:tabs>
          <w:tab w:val="clear" w:pos="720"/>
          <w:tab w:val="left" w:pos="-720" w:leader="none"/>
        </w:tabs>
        <w:ind w:firstLine="720" w:start="720" w:end="720"/>
        <w:rPr/>
      </w:pPr>
      <w:r>
        <w:rPr/>
        <w:t xml:space="preserve">The Attorney General would like to clarify the issue of confidential treatment of the individual market participant data requested as part of our investigation into California’s electricity markets.  </w:t>
      </w:r>
    </w:p>
    <w:p>
      <w:pPr>
        <w:pStyle w:val="Normal"/>
        <w:tabs>
          <w:tab w:val="clear" w:pos="720"/>
          <w:tab w:val="left" w:pos="-720" w:leader="none"/>
        </w:tabs>
        <w:ind w:start="720" w:end="720"/>
        <w:rPr/>
      </w:pPr>
      <w:r>
        <w:rPr/>
      </w:r>
    </w:p>
    <w:p>
      <w:pPr>
        <w:pStyle w:val="Normal"/>
        <w:tabs>
          <w:tab w:val="clear" w:pos="720"/>
          <w:tab w:val="left" w:pos="-720" w:leader="none"/>
        </w:tabs>
        <w:ind w:firstLine="720" w:start="720" w:end="720"/>
        <w:rPr/>
      </w:pPr>
      <w:r>
        <w:rPr/>
        <w:t xml:space="preserve">The Attorney General will maintain the confidentiality of individual market participant information that constitutes a trade secret (see Civ. Code, </w:t>
      </w:r>
      <w:r>
        <w:rPr>
          <w:sz w:val="26"/>
        </w:rPr>
        <w:t>§</w:t>
      </w:r>
      <w:r>
        <w:rPr/>
        <w:t xml:space="preserve"> 3426.1, subd. (d)) or is otherwise deemed confidential under the FERC tariff and that has been identified as confidential when submitted.  In accordance with Government Code sections 6254, 6255, and 11183, the Attorney General will withhold such information from public disclosure.  The Attorney General may, however, elect to disclose confidential information to the California Public Utilities Commission, the Electricity Oversight Board, or to any other governmental agency responsible for enforcing laws related to any unlawful activity discovered, provided that these agencies agree to treat the disclosed material as confidential under section 6254.5, subdivision (e).  The Attorney General may also disclose confidential information to any expert, consultant, or agent retained to assist in the conduct of this investigation, provided that prior to disclosure each such expert, consultant, or agent agrees in writing to treat the disclosed material as confidential.    </w:t>
      </w:r>
    </w:p>
    <w:p>
      <w:pPr>
        <w:pStyle w:val="Normal"/>
        <w:tabs>
          <w:tab w:val="clear" w:pos="720"/>
          <w:tab w:val="left" w:pos="-720" w:leader="none"/>
        </w:tabs>
        <w:ind w:start="720" w:end="720"/>
        <w:rPr/>
      </w:pPr>
      <w:r>
        <w:rPr/>
      </w:r>
    </w:p>
    <w:p>
      <w:pPr>
        <w:pStyle w:val="Normal"/>
        <w:tabs>
          <w:tab w:val="clear" w:pos="720"/>
          <w:tab w:val="left" w:pos="-720" w:leader="none"/>
        </w:tabs>
        <w:ind w:firstLine="720" w:start="720" w:end="720"/>
        <w:rPr/>
      </w:pPr>
      <w:r>
        <w:rPr/>
        <w:t xml:space="preserve">In the event the Attorney General determines that the confidentiality of individual market participant data cannot be justified under these or other provisions, it will give notice to the California Power Exchange and the applicable market participant(s) at least five business days prior to public disclosure. </w:t>
      </w:r>
    </w:p>
    <w:p>
      <w:pPr>
        <w:pStyle w:val="Normal"/>
        <w:tabs>
          <w:tab w:val="clear" w:pos="720"/>
          <w:tab w:val="left" w:pos="-720" w:leader="none"/>
        </w:tabs>
        <w:ind w:start="720" w:end="720"/>
        <w:rPr/>
      </w:pPr>
      <w:r>
        <w:rPr/>
      </w:r>
    </w:p>
    <w:p>
      <w:pPr>
        <w:pStyle w:val="Normal"/>
        <w:tabs>
          <w:tab w:val="clear" w:pos="720"/>
          <w:tab w:val="left" w:pos="-720" w:leader="none"/>
        </w:tabs>
        <w:ind w:firstLine="720" w:start="720" w:end="720"/>
        <w:rPr/>
      </w:pPr>
      <w:r>
        <w:rPr/>
      </w:r>
    </w:p>
    <w:p>
      <w:pPr>
        <w:pStyle w:val="Normal"/>
        <w:tabs>
          <w:tab w:val="clear" w:pos="720"/>
          <w:tab w:val="left" w:pos="-720" w:leader="none"/>
        </w:tabs>
        <w:ind w:firstLine="4320" w:start="720" w:end="720"/>
        <w:rPr/>
      </w:pPr>
      <w:r>
        <w:rPr/>
        <w:t>Sincerely,</w:t>
      </w:r>
    </w:p>
    <w:p>
      <w:pPr>
        <w:pStyle w:val="Normal"/>
        <w:tabs>
          <w:tab w:val="clear" w:pos="720"/>
          <w:tab w:val="left" w:pos="-720" w:leader="none"/>
        </w:tabs>
        <w:ind w:start="720" w:end="720"/>
        <w:rPr/>
      </w:pPr>
      <w:r>
        <w:rPr/>
      </w:r>
    </w:p>
    <w:p>
      <w:pPr>
        <w:pStyle w:val="Normal"/>
        <w:tabs>
          <w:tab w:val="clear" w:pos="720"/>
          <w:tab w:val="left" w:pos="-720" w:leader="none"/>
        </w:tabs>
        <w:ind w:start="720" w:end="0"/>
        <w:rPr/>
      </w:pPr>
      <w:r>
        <w:rPr/>
      </w:r>
    </w:p>
    <w:p>
      <w:pPr>
        <w:pStyle w:val="Normal"/>
        <w:tabs>
          <w:tab w:val="clear" w:pos="720"/>
          <w:tab w:val="left" w:pos="-720" w:leader="none"/>
        </w:tabs>
        <w:ind w:start="720" w:end="720"/>
        <w:rPr/>
      </w:pPr>
      <w:r>
        <w:rPr/>
      </w:r>
    </w:p>
    <w:p>
      <w:pPr>
        <w:pStyle w:val="Normal"/>
        <w:tabs>
          <w:tab w:val="clear" w:pos="720"/>
          <w:tab w:val="left" w:pos="-720" w:leader="none"/>
        </w:tabs>
        <w:ind w:firstLine="4320" w:start="720" w:end="720"/>
        <w:rPr/>
      </w:pPr>
      <w:r>
        <w:rPr/>
        <w:t>RICHARD ROCHMAN</w:t>
      </w:r>
    </w:p>
    <w:p>
      <w:pPr>
        <w:pStyle w:val="Normal"/>
        <w:tabs>
          <w:tab w:val="clear" w:pos="720"/>
          <w:tab w:val="left" w:pos="-720" w:leader="none"/>
        </w:tabs>
        <w:ind w:firstLine="4320" w:start="720" w:end="720"/>
        <w:rPr>
          <w:rFonts w:ascii="Tms Rmn" w:hAnsi="Tms Rmn" w:cs="Tms Rmn"/>
        </w:rPr>
      </w:pPr>
      <w:r>
        <w:rPr/>
        <w:t>Deputy Attorney General</w:t>
      </w:r>
    </w:p>
    <w:p>
      <w:pPr>
        <w:pStyle w:val="Normal"/>
        <w:tabs>
          <w:tab w:val="clear" w:pos="720"/>
          <w:tab w:val="left" w:pos="-720" w:leader="none"/>
        </w:tabs>
        <w:ind w:start="720" w:end="720"/>
        <w:rPr>
          <w:rFonts w:ascii="Tms Rmn" w:hAnsi="Tms Rmn" w:cs="Tms Rmn"/>
        </w:rPr>
      </w:pPr>
      <w:r>
        <w:rPr>
          <w:rFonts w:cs="Tms Rmn" w:ascii="Tms Rmn" w:hAnsi="Tms Rmn"/>
        </w:rPr>
      </w:r>
    </w:p>
    <w:p>
      <w:pPr>
        <w:pStyle w:val="Normal"/>
        <w:tabs>
          <w:tab w:val="clear" w:pos="720"/>
          <w:tab w:val="left" w:pos="-720" w:leader="none"/>
        </w:tabs>
        <w:ind w:firstLine="3600" w:start="720" w:end="720"/>
        <w:rPr>
          <w:rFonts w:ascii="Tms Rmn" w:hAnsi="Tms Rmn" w:cs="Tms Rmn"/>
        </w:rPr>
      </w:pPr>
      <w:r>
        <w:rPr>
          <w:rFonts w:cs="Tms Rmn" w:ascii="Tms Rmn" w:hAnsi="Tms Rmn"/>
        </w:rPr>
        <w:t>For</w:t>
        <w:tab/>
        <w:t>BILL LOCKYER</w:t>
      </w:r>
    </w:p>
    <w:p>
      <w:pPr>
        <w:pStyle w:val="Normal"/>
        <w:tabs>
          <w:tab w:val="clear" w:pos="720"/>
          <w:tab w:val="left" w:pos="-720" w:leader="none"/>
        </w:tabs>
        <w:ind w:firstLine="4320" w:start="720" w:end="720"/>
        <w:rPr>
          <w:rFonts w:ascii="Tms Rmn" w:hAnsi="Tms Rmn" w:cs="Tms Rmn"/>
        </w:rPr>
      </w:pPr>
      <w:r>
        <w:rPr>
          <w:rFonts w:cs="Tms Rmn" w:ascii="Tms Rmn" w:hAnsi="Tms Rmn"/>
        </w:rPr>
        <w:t>Attorney General</w:t>
      </w:r>
    </w:p>
    <w:sectPr>
      <w:headerReference w:type="default" r:id="rId2"/>
      <w:type w:val="nextPage"/>
      <w:pgSz w:w="12240" w:h="15840"/>
      <w:pgMar w:left="1440" w:right="1440" w:gutter="0" w:header="720" w:top="776"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start="720" w:end="720"/>
      <w:rPr/>
    </w:pPr>
    <w:r>
      <w:rPr/>
    </w:r>
  </w:p>
  <w:p>
    <w:pPr>
      <w:pStyle w:val="Normal"/>
      <w:ind w:start="720" w:end="720"/>
      <w:rPr/>
    </w:pPr>
    <w:r>
      <w:rPr/>
    </w:r>
  </w:p>
  <w:p>
    <w:pPr>
      <w:pStyle w:val="Normal"/>
      <w:ind w:start="720" w:end="720"/>
      <w:rPr/>
    </w:pPr>
    <w:r>
      <w:rPr/>
    </w:r>
  </w:p>
  <w:p>
    <w:pPr>
      <w:pStyle w:val="Normal"/>
      <w:ind w:start="720" w:end="720"/>
      <w:rPr/>
    </w:pPr>
    <w:r>
      <w:rPr/>
      <w:t>Mr. Scott D. Rasmussen</w:t>
    </w:r>
  </w:p>
  <w:p>
    <w:pPr>
      <w:pStyle w:val="Normal"/>
      <w:ind w:start="720" w:end="720"/>
      <w:rPr/>
    </w:pPr>
    <w:r>
      <w:rPr/>
      <w:t>October 13, 2000</w:t>
    </w:r>
  </w:p>
  <w:p>
    <w:pPr>
      <w:pStyle w:val="Normal"/>
      <w:ind w:start="720" w:end="720"/>
      <w:rPr/>
    </w:pPr>
    <w:r>
      <w:rPr/>
      <w:t xml:space="preserve">Page </w:t>
    </w:r>
    <w:r>
      <w:rPr/>
      <w:fldChar w:fldCharType="begin"/>
    </w:r>
    <w:r>
      <w:rPr/>
      <w:instrText xml:space="preserve"> PAGE </w:instrText>
    </w:r>
    <w:r>
      <w:rPr/>
      <w:fldChar w:fldCharType="separate"/>
    </w:r>
    <w:r>
      <w:rPr/>
      <w:t>2</w:t>
    </w:r>
    <w:r>
      <w:rPr/>
      <w:fldChar w:fldCharType="end"/>
    </w:r>
  </w:p>
  <w:p>
    <w:pPr>
      <w:pStyle w:val="Normal"/>
      <w:ind w:start="720" w:end="720"/>
      <w:rPr/>
    </w:pPr>
    <w:r>
      <w:rPr/>
    </w:r>
  </w:p>
  <w:p>
    <w:pPr>
      <w:pStyle w:val="Normal"/>
      <w:spacing w:lineRule="exact" w:line="240"/>
      <w:rPr/>
    </w:pPr>
    <w:r>
      <w:rPr/>
    </w:r>
  </w:p>
</w:hdr>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2000-10-16T17:54:00Z</dcterms:created>
  <dc:creator>SThompson</dc:creator>
  <dc:description/>
  <dc:language>en-CA</dc:language>
  <cp:lastModifiedBy>SThompson</cp:lastModifiedBy>
  <dcterms:modified xsi:type="dcterms:W3CDTF">2000-10-16T17:57:00Z</dcterms:modified>
  <cp:revision>3</cp:revision>
  <dc:subject/>
  <dc:title> </dc:title>
</cp:coreProperties>
</file>