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The arguments for Wessex withdrawing from the Azurix Global Insurance Programme (“AGIP”)</w:t>
      </w:r>
    </w:p>
    <w:p>
      <w:pPr>
        <w:pStyle w:val="Normal"/>
        <w:rPr/>
      </w:pPr>
      <w:r>
        <w:rPr/>
      </w:r>
    </w:p>
    <w:p>
      <w:pPr>
        <w:pStyle w:val="Normal"/>
        <w:rPr>
          <w:sz w:val="28"/>
        </w:rPr>
      </w:pPr>
      <w:r>
        <w:rPr>
          <w:sz w:val="28"/>
        </w:rPr>
        <w:t>Actual Financial loss in first year</w:t>
      </w:r>
    </w:p>
    <w:p>
      <w:pPr>
        <w:pStyle w:val="Normal"/>
        <w:rPr>
          <w:sz w:val="28"/>
        </w:rPr>
      </w:pPr>
      <w:r>
        <w:rPr>
          <w:sz w:val="28"/>
        </w:rPr>
      </w:r>
    </w:p>
    <w:p>
      <w:pPr>
        <w:pStyle w:val="BodyText2"/>
        <w:rPr/>
      </w:pPr>
      <w:r>
        <w:rPr/>
        <w:t>The AGIP was established in late 1999 covering 6 main risks previously insured under the Wessex standalone programme.  The premiums charged by Azurix to Wessex in 2000 amounted to $948k (£654k), which were £138k cheaper that Wessex had paid in the previous year under its own programme.  The main reason for this was the fact that the excesses or levels of self-insurance, under the AGIP were far higher than Wessex had historically accepted (approximately a total of £200k under the AGIP versus £30k under the Wessex programme spread across the 6 policies).  Records have now shown us that due to the higher excess levels Wessex ended up incurring approx £300k more in costs in 2000 (Floodings at Ham/Salisbury accounted for £125k alone) than it would have done had it retained its own lower excess levels – this amount obviously easily cancelled out the premium savings.</w:t>
      </w:r>
    </w:p>
    <w:p>
      <w:pPr>
        <w:pStyle w:val="Normal"/>
        <w:rPr>
          <w:b w:val="false"/>
          <w:sz w:val="24"/>
        </w:rPr>
      </w:pPr>
      <w:r>
        <w:rPr>
          <w:b w:val="false"/>
          <w:sz w:val="24"/>
        </w:rPr>
      </w:r>
    </w:p>
    <w:p>
      <w:pPr>
        <w:pStyle w:val="Normal"/>
        <w:rPr>
          <w:sz w:val="28"/>
        </w:rPr>
      </w:pPr>
      <w:r>
        <w:rPr>
          <w:sz w:val="28"/>
        </w:rPr>
        <w:t>Forecasted financial loss in second year</w:t>
      </w:r>
    </w:p>
    <w:p>
      <w:pPr>
        <w:pStyle w:val="Normal"/>
        <w:rPr>
          <w:sz w:val="28"/>
        </w:rPr>
      </w:pPr>
      <w:r>
        <w:rPr>
          <w:sz w:val="28"/>
        </w:rPr>
      </w:r>
    </w:p>
    <w:p>
      <w:pPr>
        <w:pStyle w:val="BodyText2"/>
        <w:rPr/>
      </w:pPr>
      <w:r>
        <w:rPr/>
        <w:t>The premiums charged to Wessex under the AGIP in 2001 rose by nearly 30% taking them to $1,163k (£802k).  We have market tested the current price of a Wessex standalone programme, using our broker of 7 years standing, and believe this to be in the region of £871k i.e. a 10% increase over the last established programme.  While the AGIP still has a small benefit in the level of premiums (£70k) if we continue to incur increased costs due to the higher excess levels around the same level as last year then in 2001 we are likely to see an overall cost to Wessex of £230k.</w:t>
      </w:r>
    </w:p>
    <w:p>
      <w:pPr>
        <w:pStyle w:val="BodyText2"/>
        <w:rPr>
          <w:b/>
        </w:rPr>
      </w:pPr>
      <w:r>
        <w:rPr>
          <w:b/>
        </w:rPr>
      </w:r>
    </w:p>
    <w:p>
      <w:pPr>
        <w:pStyle w:val="Normal"/>
        <w:rPr>
          <w:sz w:val="28"/>
        </w:rPr>
      </w:pPr>
      <w:r>
        <w:rPr>
          <w:sz w:val="28"/>
        </w:rPr>
        <w:t>Miscellaneous problems of AGIP</w:t>
      </w:r>
    </w:p>
    <w:p>
      <w:pPr>
        <w:pStyle w:val="Normal"/>
        <w:rPr>
          <w:sz w:val="28"/>
        </w:rPr>
      </w:pPr>
      <w:r>
        <w:rPr>
          <w:sz w:val="28"/>
        </w:rPr>
      </w:r>
    </w:p>
    <w:p>
      <w:pPr>
        <w:pStyle w:val="BodyText2"/>
        <w:rPr/>
      </w:pPr>
      <w:r>
        <w:rPr/>
        <w:t>There has been a criticism from Azurix that the previous Wessex standalone cover was deficient in some areas and that the AGIP bought us more comprehensive cover.  There are no areas where any alleged deficiencies were not known about and had already been accepted by Wessex management as an acceptable or controllable risk.  Furthermore it could be said that in some areas the AGIP was deficient in levels of cover i.e. motor.</w:t>
      </w:r>
    </w:p>
    <w:p>
      <w:pPr>
        <w:pStyle w:val="Normal"/>
        <w:rPr>
          <w:b w:val="false"/>
          <w:sz w:val="24"/>
        </w:rPr>
      </w:pPr>
      <w:r>
        <w:rPr>
          <w:b w:val="false"/>
          <w:sz w:val="24"/>
        </w:rPr>
      </w:r>
    </w:p>
    <w:p>
      <w:pPr>
        <w:pStyle w:val="Normal"/>
        <w:rPr>
          <w:b w:val="false"/>
          <w:sz w:val="24"/>
        </w:rPr>
      </w:pPr>
      <w:r>
        <w:rPr>
          <w:b w:val="false"/>
          <w:sz w:val="24"/>
        </w:rPr>
        <w:t>Wessex has never been given sight of the global policies (despite numerous requests) so it has been difficult sometimes to evaluate whether Wessex is covered in some areas or not – this has caused some day to day operational difficulties.</w:t>
      </w:r>
    </w:p>
    <w:p>
      <w:pPr>
        <w:pStyle w:val="Normal"/>
        <w:rPr>
          <w:b w:val="false"/>
          <w:sz w:val="24"/>
        </w:rPr>
      </w:pPr>
      <w:r>
        <w:rPr>
          <w:b w:val="false"/>
          <w:sz w:val="24"/>
        </w:rPr>
      </w:r>
    </w:p>
    <w:p>
      <w:pPr>
        <w:pStyle w:val="Normal"/>
        <w:rPr>
          <w:b w:val="false"/>
          <w:sz w:val="24"/>
        </w:rPr>
      </w:pPr>
      <w:r>
        <w:rPr>
          <w:b w:val="false"/>
          <w:sz w:val="24"/>
        </w:rPr>
        <w:t>Despite being charged the premiums for the last two years we have never actually been invoiced.  Moreover, and perhaps more concerning, Azurix and their U.S. broker have never been able to sort out the simple issue of getting taxes paid on the policies despite our numerous requests to do so.</w:t>
      </w:r>
    </w:p>
    <w:p>
      <w:pPr>
        <w:pStyle w:val="Normal"/>
        <w:rPr>
          <w:b w:val="false"/>
          <w:sz w:val="24"/>
        </w:rPr>
      </w:pPr>
      <w:r>
        <w:rPr>
          <w:b w:val="false"/>
          <w:sz w:val="24"/>
        </w:rPr>
      </w:r>
    </w:p>
    <w:p>
      <w:pPr>
        <w:pStyle w:val="Normal"/>
        <w:rPr>
          <w:b w:val="false"/>
          <w:sz w:val="24"/>
        </w:rPr>
      </w:pPr>
      <w:r>
        <w:rPr>
          <w:b w:val="false"/>
          <w:sz w:val="24"/>
        </w:rPr>
        <w:t>Fee income for the Wessex broker has been slashed which must have an affect on the level of service provided although to his credit our broker has tried to ignore this issue.</w:t>
      </w:r>
    </w:p>
    <w:p>
      <w:pPr>
        <w:pStyle w:val="Normal"/>
        <w:rPr>
          <w:b w:val="false"/>
          <w:sz w:val="24"/>
        </w:rPr>
      </w:pPr>
      <w:r>
        <w:rPr>
          <w:b w:val="false"/>
          <w:sz w:val="24"/>
        </w:rPr>
      </w:r>
    </w:p>
    <w:p>
      <w:pPr>
        <w:pStyle w:val="Normal"/>
        <w:rPr>
          <w:b w:val="false"/>
          <w:sz w:val="24"/>
        </w:rPr>
      </w:pPr>
      <w:r>
        <w:rPr>
          <w:b w:val="false"/>
          <w:sz w:val="24"/>
        </w:rPr>
        <w:t>Cover has had to be duplicated in some areas (e.g. WWEL), as the excess levels under the AGIP were not acceptable to potential contracting parties.</w:t>
      </w:r>
    </w:p>
    <w:p>
      <w:pPr>
        <w:pStyle w:val="Normal"/>
        <w:rPr>
          <w:b w:val="false"/>
          <w:sz w:val="24"/>
        </w:rPr>
      </w:pPr>
      <w:r>
        <w:rPr>
          <w:b w:val="false"/>
          <w:sz w:val="24"/>
        </w:rPr>
      </w:r>
    </w:p>
    <w:p>
      <w:pPr>
        <w:pStyle w:val="Normal"/>
        <w:rPr>
          <w:b w:val="false"/>
          <w:sz w:val="24"/>
        </w:rPr>
      </w:pPr>
      <w:r>
        <w:rPr>
          <w:b w:val="false"/>
          <w:sz w:val="24"/>
        </w:rPr>
        <w:t>Looking forward when Azurix is closed it is possible that Wessex could be part of the Enron global programme.  This is almost certainly to be even less appropriate for Wessex in terms of levels of coverage and excesses given the nature of Enron as an entity.</w:t>
      </w:r>
    </w:p>
    <w:p>
      <w:pPr>
        <w:pStyle w:val="Normal"/>
        <w:rPr>
          <w:b w:val="false"/>
          <w:sz w:val="24"/>
        </w:rPr>
      </w:pPr>
      <w:r>
        <w:rPr>
          <w:b w:val="false"/>
          <w:sz w:val="24"/>
        </w:rPr>
      </w:r>
    </w:p>
    <w:p>
      <w:pPr>
        <w:pStyle w:val="Normal"/>
        <w:rPr>
          <w:b w:val="false"/>
          <w:sz w:val="24"/>
        </w:rPr>
      </w:pPr>
      <w:r>
        <w:rPr>
          <w:b w:val="false"/>
          <w:sz w:val="24"/>
        </w:rPr>
        <w:t>Now that it appears Wessex is overall paying more for its insurance coverage’s it calls into question potential RAG 5 and licence modification issues regarding ‘operating as a standalone company’, ‘in the bests interests of the company’ and ‘arms length transactions’.</w:t>
      </w:r>
    </w:p>
    <w:p>
      <w:pPr>
        <w:pStyle w:val="Normal"/>
        <w:rPr/>
      </w:pPr>
      <w:r>
        <w:rPr>
          <w:b w:val="false"/>
          <w:sz w:val="24"/>
        </w:rPr>
        <w:t xml:space="preserve">       </w:t>
      </w: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ZapfHumnst BT">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0"/>
        </w:tabs>
        <w:ind w:start="0" w:hanging="0"/>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b/>
      <w:color w:val="auto"/>
      <w:sz w:val="32"/>
      <w:szCs w:val="20"/>
      <w:lang w:val="en-GB" w:eastAsia="zh-CN" w:bidi="hi-IN"/>
    </w:rPr>
  </w:style>
  <w:style w:type="paragraph" w:styleId="Heading1">
    <w:name w:val="heading 1"/>
    <w:basedOn w:val="Normal"/>
    <w:next w:val="BodyText"/>
    <w:qFormat/>
    <w:pPr>
      <w:pageBreakBefore/>
      <w:numPr>
        <w:ilvl w:val="0"/>
        <w:numId w:val="2"/>
      </w:numPr>
      <w:pBdr>
        <w:bottom w:val="single" w:sz="12" w:space="2" w:color="000000"/>
      </w:pBdr>
      <w:spacing w:before="0" w:after="240"/>
      <w:ind w:hanging="851" w:start="851" w:end="0"/>
      <w:outlineLvl w:val="0"/>
    </w:pPr>
    <w:rPr>
      <w:b w:val="false"/>
      <w:sz w:val="36"/>
    </w:rPr>
  </w:style>
  <w:style w:type="paragraph" w:styleId="Heading2">
    <w:name w:val="heading 2"/>
    <w:basedOn w:val="Normal"/>
    <w:next w:val="BodyText"/>
    <w:qFormat/>
    <w:pPr>
      <w:keepNext w:val="true"/>
      <w:numPr>
        <w:ilvl w:val="0"/>
        <w:numId w:val="2"/>
      </w:numPr>
      <w:spacing w:before="480" w:after="0"/>
      <w:ind w:hanging="851" w:start="851" w:end="0"/>
      <w:outlineLvl w:val="1"/>
    </w:pPr>
    <w:rPr>
      <w:b w:val="false"/>
      <w:sz w:val="28"/>
    </w:rPr>
  </w:style>
  <w:style w:type="paragraph" w:styleId="Heading3">
    <w:name w:val="heading 3"/>
    <w:basedOn w:val="Normal"/>
    <w:next w:val="BodyText"/>
    <w:qFormat/>
    <w:pPr>
      <w:keepNext w:val="true"/>
      <w:numPr>
        <w:ilvl w:val="0"/>
        <w:numId w:val="2"/>
      </w:numPr>
      <w:spacing w:before="360" w:after="0"/>
      <w:ind w:hanging="851" w:start="851" w:end="0"/>
      <w:outlineLvl w:val="2"/>
    </w:pPr>
    <w:rPr>
      <w:b w:val="false"/>
    </w:rPr>
  </w:style>
  <w:style w:type="paragraph" w:styleId="Heading4">
    <w:name w:val="heading 4"/>
    <w:basedOn w:val="Normal"/>
    <w:next w:val="BodyText"/>
    <w:qFormat/>
    <w:pPr>
      <w:keepNext w:val="true"/>
      <w:numPr>
        <w:ilvl w:val="0"/>
        <w:numId w:val="2"/>
      </w:numPr>
      <w:ind w:hanging="851" w:start="851" w:end="0"/>
      <w:outlineLvl w:val="3"/>
    </w:pPr>
    <w:rPr>
      <w:b w:val="false"/>
    </w:rPr>
  </w:style>
  <w:style w:type="paragraph" w:styleId="Heading5">
    <w:name w:val="heading 5"/>
    <w:basedOn w:val="Normal"/>
    <w:next w:val="Normal"/>
    <w:qFormat/>
    <w:pPr>
      <w:numPr>
        <w:ilvl w:val="0"/>
        <w:numId w:val="2"/>
      </w:numPr>
      <w:spacing w:before="0" w:after="60"/>
      <w:outlineLvl w:val="4"/>
    </w:pPr>
    <w:rPr>
      <w:rFonts w:ascii="Arial" w:hAnsi="Arial" w:cs="Arial"/>
    </w:rPr>
  </w:style>
  <w:style w:type="paragraph" w:styleId="Heading6">
    <w:name w:val="heading 6"/>
    <w:basedOn w:val="Normal"/>
    <w:next w:val="Normal"/>
    <w:qFormat/>
    <w:pPr>
      <w:numPr>
        <w:ilvl w:val="0"/>
        <w:numId w:val="2"/>
      </w:numPr>
      <w:spacing w:before="0" w:after="60"/>
      <w:outlineLvl w:val="5"/>
    </w:pPr>
    <w:rPr>
      <w:rFonts w:ascii="Arial" w:hAnsi="Arial" w:cs="Arial"/>
      <w:i/>
    </w:rPr>
  </w:style>
  <w:style w:type="paragraph" w:styleId="Heading7">
    <w:name w:val="heading 7"/>
    <w:basedOn w:val="Normal"/>
    <w:next w:val="Normal"/>
    <w:qFormat/>
    <w:pPr>
      <w:numPr>
        <w:ilvl w:val="0"/>
        <w:numId w:val="2"/>
      </w:numPr>
      <w:spacing w:before="0" w:after="60"/>
      <w:outlineLvl w:val="6"/>
    </w:pPr>
    <w:rPr>
      <w:rFonts w:ascii="Arial" w:hAnsi="Arial" w:cs="Arial"/>
    </w:rPr>
  </w:style>
  <w:style w:type="paragraph" w:styleId="Heading8">
    <w:name w:val="heading 8"/>
    <w:basedOn w:val="Normal"/>
    <w:next w:val="Normal"/>
    <w:qFormat/>
    <w:pPr>
      <w:numPr>
        <w:ilvl w:val="0"/>
        <w:numId w:val="2"/>
      </w:numPr>
      <w:spacing w:before="0" w:after="60"/>
      <w:outlineLvl w:val="7"/>
    </w:pPr>
    <w:rPr>
      <w:rFonts w:ascii="Arial" w:hAnsi="Arial" w:cs="Arial"/>
      <w:i/>
    </w:rPr>
  </w:style>
  <w:style w:type="paragraph" w:styleId="Heading9">
    <w:name w:val="heading 9"/>
    <w:basedOn w:val="Heading1"/>
    <w:next w:val="BodyText"/>
    <w:qFormat/>
    <w:pPr>
      <w:numPr>
        <w:ilvl w:val="0"/>
        <w:numId w:val="2"/>
      </w:numPr>
      <w:tabs>
        <w:tab w:val="clear" w:pos="720"/>
        <w:tab w:val="left" w:pos="360" w:leader="none"/>
      </w:tabs>
      <w:ind w:hanging="2381" w:start="2381" w:end="0"/>
      <w:outlineLvl w:val="8"/>
    </w:pPr>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ZapfHumnst BT" w:hAnsi="ZapfHumnst BT" w:cs="ZapfHumnst B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ind w:hanging="0" w:start="851"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ind w:hanging="0" w:start="1134" w:end="0"/>
    </w:pPr>
    <w:rPr/>
  </w:style>
  <w:style w:type="paragraph" w:styleId="FigureCaption">
    <w:name w:val="Figure Caption"/>
    <w:basedOn w:val="Normal"/>
    <w:qFormat/>
    <w:pPr>
      <w:spacing w:before="0" w:after="120"/>
      <w:ind w:hanging="0" w:start="113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next w:val="Normal"/>
    <w:pPr>
      <w:tabs>
        <w:tab w:val="clear" w:pos="720"/>
        <w:tab w:val="right" w:pos="9072" w:leader="none"/>
      </w:tabs>
    </w:pPr>
    <w:rPr>
      <w:sz w:val="18"/>
    </w:rPr>
  </w:style>
  <w:style w:type="paragraph" w:styleId="Header">
    <w:name w:val="header"/>
    <w:basedOn w:val="Normal"/>
    <w:pPr>
      <w:tabs>
        <w:tab w:val="clear" w:pos="720"/>
        <w:tab w:val="center" w:pos="4153" w:leader="none"/>
        <w:tab w:val="right" w:pos="8306" w:leader="none"/>
      </w:tabs>
    </w:pPr>
    <w:rPr/>
  </w:style>
  <w:style w:type="paragraph" w:styleId="Heading1nonumbering">
    <w:name w:val="Heading 1 no numbering"/>
    <w:basedOn w:val="Heading1"/>
    <w:next w:val="BodyText"/>
    <w:qFormat/>
    <w:pPr>
      <w:numPr>
        <w:ilvl w:val="0"/>
        <w:numId w:val="2"/>
      </w:numPr>
      <w:tabs>
        <w:tab w:val="clear" w:pos="720"/>
      </w:tabs>
      <w:ind w:firstLine="851" w:start="0" w:end="0"/>
      <w:outlineLvl w:val="9"/>
    </w:pPr>
    <w:rPr/>
  </w:style>
  <w:style w:type="paragraph" w:styleId="Heading2nonumbering">
    <w:name w:val="Heading 2 no numbering"/>
    <w:basedOn w:val="Heading2"/>
    <w:next w:val="BodyText"/>
    <w:qFormat/>
    <w:pPr>
      <w:numPr>
        <w:ilvl w:val="0"/>
        <w:numId w:val="2"/>
      </w:numPr>
      <w:tabs>
        <w:tab w:val="clear" w:pos="720"/>
      </w:tabs>
      <w:ind w:hanging="0" w:start="851" w:end="0"/>
      <w:outlineLvl w:val="9"/>
    </w:pPr>
    <w:rPr/>
  </w:style>
  <w:style w:type="paragraph" w:styleId="Heading3nonumbering">
    <w:name w:val="Heading 3 no numbering"/>
    <w:basedOn w:val="Heading3"/>
    <w:next w:val="BodyText"/>
    <w:qFormat/>
    <w:pPr>
      <w:numPr>
        <w:ilvl w:val="0"/>
        <w:numId w:val="2"/>
      </w:numPr>
      <w:tabs>
        <w:tab w:val="clear" w:pos="720"/>
      </w:tabs>
      <w:ind w:hanging="0" w:start="851" w:end="0"/>
      <w:outlineLvl w:val="9"/>
    </w:pPr>
    <w:rPr/>
  </w:style>
  <w:style w:type="paragraph" w:styleId="Heading4nonumbering">
    <w:name w:val="Heading 4 no numbering"/>
    <w:basedOn w:val="Heading4"/>
    <w:next w:val="BodyText"/>
    <w:qFormat/>
    <w:pPr>
      <w:numPr>
        <w:ilvl w:val="0"/>
        <w:numId w:val="2"/>
      </w:numPr>
      <w:tabs>
        <w:tab w:val="clear" w:pos="720"/>
      </w:tabs>
      <w:ind w:hanging="0" w:start="851" w:end="0"/>
      <w:outlineLvl w:val="9"/>
    </w:pPr>
    <w:rPr/>
  </w:style>
  <w:style w:type="paragraph" w:styleId="ListBullet">
    <w:name w:val="List Bullet"/>
    <w:basedOn w:val="Normal"/>
    <w:qFormat/>
    <w:pPr>
      <w:numPr>
        <w:ilvl w:val="0"/>
        <w:numId w:val="3"/>
      </w:numPr>
      <w:spacing w:before="60" w:after="60"/>
      <w:ind w:hanging="284" w:start="1135" w:end="567"/>
    </w:pPr>
    <w:rPr/>
  </w:style>
  <w:style w:type="paragraph" w:styleId="ListBulletIndent">
    <w:name w:val="List Bullet Indent"/>
    <w:basedOn w:val="ListBullet"/>
    <w:qFormat/>
    <w:pPr>
      <w:ind w:hanging="284" w:start="1418" w:end="567"/>
    </w:pPr>
    <w:rPr/>
  </w:style>
  <w:style w:type="paragraph" w:styleId="ListBulletnospace">
    <w:name w:val="List Bullet no space"/>
    <w:basedOn w:val="ListBullet"/>
    <w:qFormat/>
    <w:pPr>
      <w:spacing w:before="0" w:after="0"/>
    </w:pPr>
    <w:rPr/>
  </w:style>
  <w:style w:type="paragraph" w:styleId="ListNumber">
    <w:name w:val="List Number"/>
    <w:basedOn w:val="Normal"/>
    <w:qFormat/>
    <w:pPr>
      <w:numPr>
        <w:ilvl w:val="0"/>
        <w:numId w:val="4"/>
      </w:numPr>
      <w:spacing w:before="60" w:after="60"/>
      <w:ind w:hanging="284" w:start="1135" w:end="567"/>
    </w:pPr>
    <w:rPr/>
  </w:style>
  <w:style w:type="paragraph" w:styleId="ListLetter">
    <w:name w:val="List Letter"/>
    <w:basedOn w:val="ListNumber"/>
    <w:qFormat/>
    <w:pPr>
      <w:numPr>
        <w:ilvl w:val="0"/>
        <w:numId w:val="5"/>
      </w:numPr>
    </w:pPr>
    <w:rPr/>
  </w:style>
  <w:style w:type="paragraph" w:styleId="NormalIndent">
    <w:name w:val="Normal Indent"/>
    <w:basedOn w:val="Normal"/>
    <w:qFormat/>
    <w:pPr>
      <w:ind w:hanging="0" w:start="1134" w:end="0"/>
    </w:pPr>
    <w:rPr/>
  </w:style>
  <w:style w:type="paragraph" w:styleId="TableCaption">
    <w:name w:val="Table Caption"/>
    <w:basedOn w:val="Normal"/>
    <w:next w:val="Normal"/>
    <w:qFormat/>
    <w:pPr>
      <w:spacing w:before="240" w:after="120"/>
      <w:ind w:hanging="0" w:start="1134" w:end="0"/>
    </w:pPr>
    <w:rPr/>
  </w:style>
  <w:style w:type="paragraph" w:styleId="TableContents">
    <w:name w:val="Table Contents"/>
    <w:basedOn w:val="Normal"/>
    <w:qFormat/>
    <w:pPr>
      <w:widowControl w:val="false"/>
      <w:suppressLineNumbers/>
    </w:pPr>
    <w:rPr/>
  </w:style>
  <w:style w:type="paragraph" w:styleId="TableHeading">
    <w:name w:val="Table Heading"/>
    <w:basedOn w:val="Normal"/>
    <w:next w:val="Normal"/>
    <w:qFormat/>
    <w:pPr>
      <w:widowControl/>
      <w:suppressAutoHyphens w:val="true"/>
      <w:spacing w:before="60" w:after="60"/>
      <w:jc w:val="both"/>
    </w:pPr>
    <w:rPr>
      <w:b w:val="false"/>
      <w:sz w:val="20"/>
    </w:rPr>
  </w:style>
  <w:style w:type="paragraph" w:styleId="TableText">
    <w:name w:val="Table Text"/>
    <w:basedOn w:val="BodyText"/>
    <w:qFormat/>
    <w:pPr>
      <w:widowControl/>
      <w:spacing w:before="60" w:after="60"/>
      <w:jc w:val="both"/>
    </w:pPr>
    <w:rPr>
      <w:sz w:val="20"/>
    </w:rPr>
  </w:style>
  <w:style w:type="paragraph" w:styleId="TOC1">
    <w:name w:val="toc 1"/>
    <w:basedOn w:val="Normal"/>
    <w:next w:val="Normal"/>
    <w:pPr>
      <w:tabs>
        <w:tab w:val="clear" w:pos="720"/>
        <w:tab w:val="left" w:pos="1418" w:leader="none"/>
        <w:tab w:val="right" w:pos="8504" w:leader="none"/>
      </w:tabs>
      <w:spacing w:before="240" w:after="0"/>
      <w:ind w:hanging="0" w:start="851" w:end="0"/>
    </w:pPr>
    <w:rPr>
      <w:b w:val="false"/>
    </w:rPr>
  </w:style>
  <w:style w:type="paragraph" w:styleId="TOC2">
    <w:name w:val="toc 2"/>
    <w:basedOn w:val="TOC1"/>
    <w:next w:val="Normal"/>
    <w:pPr>
      <w:spacing w:before="120" w:after="0"/>
    </w:pPr>
    <w:rPr>
      <w:b/>
    </w:rPr>
  </w:style>
  <w:style w:type="paragraph" w:styleId="TOC3">
    <w:name w:val="toc 3"/>
    <w:basedOn w:val="TOC2"/>
    <w:next w:val="Normal"/>
    <w:pPr/>
    <w:rPr/>
  </w:style>
  <w:style w:type="paragraph" w:styleId="TOC4">
    <w:name w:val="toc 4"/>
    <w:basedOn w:val="TOC3"/>
    <w:next w:val="Normal"/>
    <w:pPr/>
    <w:rPr/>
  </w:style>
  <w:style w:type="paragraph" w:styleId="TOC5">
    <w:name w:val="toc 5"/>
    <w:basedOn w:val="Normal"/>
    <w:next w:val="Normal"/>
    <w:pPr>
      <w:tabs>
        <w:tab w:val="clear" w:pos="720"/>
        <w:tab w:val="right" w:pos="8504" w:leader="none"/>
      </w:tabs>
      <w:ind w:hanging="0" w:start="660" w:end="0"/>
    </w:pPr>
    <w:rPr>
      <w:sz w:val="18"/>
    </w:rPr>
  </w:style>
  <w:style w:type="paragraph" w:styleId="TOC6">
    <w:name w:val="toc 6"/>
    <w:basedOn w:val="Normal"/>
    <w:next w:val="Normal"/>
    <w:pPr>
      <w:tabs>
        <w:tab w:val="clear" w:pos="720"/>
        <w:tab w:val="right" w:pos="8504" w:leader="none"/>
      </w:tabs>
      <w:ind w:hanging="0" w:start="880" w:end="0"/>
    </w:pPr>
    <w:rPr>
      <w:sz w:val="18"/>
    </w:rPr>
  </w:style>
  <w:style w:type="paragraph" w:styleId="TOC7">
    <w:name w:val="toc 7"/>
    <w:basedOn w:val="Normal"/>
    <w:next w:val="Normal"/>
    <w:pPr>
      <w:tabs>
        <w:tab w:val="clear" w:pos="720"/>
        <w:tab w:val="right" w:pos="8504" w:leader="none"/>
      </w:tabs>
      <w:ind w:hanging="0" w:start="1100" w:end="0"/>
    </w:pPr>
    <w:rPr>
      <w:sz w:val="18"/>
    </w:rPr>
  </w:style>
  <w:style w:type="paragraph" w:styleId="TOC8">
    <w:name w:val="toc 8"/>
    <w:basedOn w:val="Normal"/>
    <w:next w:val="Normal"/>
    <w:pPr>
      <w:tabs>
        <w:tab w:val="clear" w:pos="720"/>
        <w:tab w:val="right" w:pos="8504" w:leader="none"/>
      </w:tabs>
      <w:ind w:hanging="0" w:start="1320" w:end="0"/>
    </w:pPr>
    <w:rPr>
      <w:sz w:val="18"/>
    </w:rPr>
  </w:style>
  <w:style w:type="paragraph" w:styleId="TOC9">
    <w:name w:val="toc 9"/>
    <w:basedOn w:val="TOC1"/>
    <w:next w:val="Normal"/>
    <w:pPr>
      <w:ind w:hanging="0" w:start="1701" w:end="0"/>
    </w:pPr>
    <w:rPr/>
  </w:style>
  <w:style w:type="paragraph" w:styleId="TocHead">
    <w:name w:val="Toc Head"/>
    <w:basedOn w:val="Normal"/>
    <w:next w:val="TOC1"/>
    <w:qFormat/>
    <w:pPr>
      <w:keepNext w:val="true"/>
      <w:keepLines/>
      <w:widowControl/>
      <w:tabs>
        <w:tab w:val="clear" w:pos="720"/>
        <w:tab w:val="right" w:pos="8505" w:leader="none"/>
      </w:tabs>
      <w:spacing w:before="180" w:after="0"/>
      <w:ind w:hanging="0" w:start="851" w:end="0"/>
    </w:pPr>
    <w:rPr>
      <w:i/>
    </w:rPr>
  </w:style>
  <w:style w:type="paragraph" w:styleId="TOCTitle">
    <w:name w:val="TOC Title"/>
    <w:basedOn w:val="Heading1"/>
    <w:next w:val="Normal"/>
    <w:qFormat/>
    <w:pPr>
      <w:numPr>
        <w:ilvl w:val="0"/>
        <w:numId w:val="2"/>
      </w:numPr>
      <w:tabs>
        <w:tab w:val="clear" w:pos="720"/>
      </w:tabs>
      <w:outlineLvl w:val="9"/>
    </w:pPr>
    <w:rPr/>
  </w:style>
  <w:style w:type="paragraph" w:styleId="BodyText2">
    <w:name w:val="Body Text 2"/>
    <w:basedOn w:val="Normal"/>
    <w:qFormat/>
    <w:pPr/>
    <w:rPr>
      <w:b w:val="false"/>
      <w:sz w:val="24"/>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2001-09-21T08:18:00Z</dcterms:created>
  <dc:creator>Wessex Water</dc:creator>
  <dc:description/>
  <dc:language>en-CA</dc:language>
  <cp:lastModifiedBy>Wessex Water</cp:lastModifiedBy>
  <cp:lastPrinted>2001-06-08T08:53:00Z</cp:lastPrinted>
  <dcterms:modified xsi:type="dcterms:W3CDTF">2001-09-21T08:18:00Z</dcterms:modified>
  <cp:revision>2</cp:revision>
  <dc:subject/>
  <dc:title>The arguments for Wessex withdrawing from the Azurix Global Insurance Programme (“AGIP”)</dc:title>
</cp:coreProperties>
</file>