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ubtitle"/>
        <w:rPr>
          <w:sz w:val="32"/>
        </w:rPr>
      </w:pPr>
      <w:r>
        <w:rPr>
          <w:sz w:val="32"/>
        </w:rPr>
        <w:t>Wharton Risk Management and Decision Processes Center</w:t>
      </w:r>
    </w:p>
    <w:p>
      <w:pPr>
        <w:pStyle w:val="Subtitle"/>
        <w:rPr>
          <w:sz w:val="16"/>
        </w:rPr>
      </w:pPr>
      <w:r>
        <w:rPr>
          <w:sz w:val="16"/>
        </w:rPr>
      </w:r>
    </w:p>
    <w:p>
      <w:pPr>
        <w:pStyle w:val="Subtitle"/>
        <w:rPr/>
      </w:pPr>
      <w:r>
        <w:rPr/>
        <w:t>ADVISORY COMMITTEE MEETING</w:t>
      </w:r>
    </w:p>
    <w:p>
      <w:pPr>
        <w:pStyle w:val="Subtitle"/>
        <w:rPr>
          <w:sz w:val="16"/>
        </w:rPr>
      </w:pPr>
      <w:r>
        <w:rPr>
          <w:sz w:val="16"/>
        </w:rPr>
      </w:r>
    </w:p>
    <w:p>
      <w:pPr>
        <w:pStyle w:val="Subtitle"/>
        <w:rPr>
          <w:i/>
          <w:i/>
          <w:iCs/>
          <w:sz w:val="28"/>
          <w:u w:val="single"/>
        </w:rPr>
      </w:pPr>
      <w:r>
        <w:rPr>
          <w:i/>
          <w:iCs/>
          <w:sz w:val="28"/>
          <w:u w:val="single"/>
        </w:rPr>
        <w:t>Risk Management in an Uncertain World</w:t>
      </w:r>
    </w:p>
    <w:p>
      <w:pPr>
        <w:pStyle w:val="Subtitle"/>
        <w:rPr>
          <w:b w:val="false"/>
          <w:bCs w:val="false"/>
          <w:i/>
          <w:i/>
          <w:iCs/>
          <w:sz w:val="16"/>
          <w:u w:val="single"/>
        </w:rPr>
      </w:pPr>
      <w:r>
        <w:rPr>
          <w:b w:val="false"/>
          <w:bCs w:val="false"/>
          <w:i/>
          <w:iCs/>
          <w:sz w:val="16"/>
          <w:u w:val="single"/>
        </w:rPr>
      </w:r>
    </w:p>
    <w:p>
      <w:pPr>
        <w:pStyle w:val="Subtitle"/>
        <w:rPr/>
      </w:pPr>
      <w:r>
        <w:rPr/>
        <w:t>Location:  The Terrace Room, Logan Hall, 249 S. 36</w:t>
      </w:r>
      <w:r>
        <w:rPr>
          <w:vertAlign w:val="superscript"/>
        </w:rPr>
        <w:t>th</w:t>
      </w:r>
      <w:r>
        <w:rPr/>
        <w:t xml:space="preserve"> Street near Locust Walk</w:t>
      </w:r>
    </w:p>
    <w:p>
      <w:pPr>
        <w:pStyle w:val="Subtitle"/>
        <w:rPr/>
      </w:pPr>
      <w:r>
        <w:rPr/>
      </w:r>
    </w:p>
    <w:p>
      <w:pPr>
        <w:pStyle w:val="Subtitle"/>
        <w:rPr>
          <w:b w:val="false"/>
          <w:bCs w:val="false"/>
        </w:rPr>
      </w:pPr>
      <w:r>
        <w:rPr>
          <w:b w:val="false"/>
          <w:bCs w:val="false"/>
        </w:rPr>
        <w:t>December 7, 2001</w:t>
      </w:r>
    </w:p>
    <w:p>
      <w:pPr>
        <w:pStyle w:val="Subtitle"/>
        <w:rPr>
          <w:b w:val="false"/>
          <w:bCs w:val="false"/>
        </w:rPr>
      </w:pPr>
      <w:r>
        <w:rPr>
          <w:b w:val="false"/>
          <w:bCs w:val="false"/>
        </w:rPr>
        <w:t xml:space="preserve">8:30AM -3:30PM </w:t>
      </w:r>
    </w:p>
    <w:p>
      <w:pPr>
        <w:pStyle w:val="Subtitle"/>
        <w:jc w:val="start"/>
        <w:rPr>
          <w:b w:val="false"/>
          <w:bCs w:val="false"/>
          <w:sz w:val="16"/>
        </w:rPr>
      </w:pPr>
      <w:r>
        <w:rPr>
          <w:b w:val="false"/>
          <w:bCs w:val="false"/>
          <w:sz w:val="16"/>
        </w:rPr>
      </w:r>
    </w:p>
    <w:p>
      <w:pPr>
        <w:pStyle w:val="Subtitle"/>
        <w:rPr>
          <w:u w:val="single"/>
        </w:rPr>
      </w:pPr>
      <w:r>
        <w:rPr>
          <w:u w:val="single"/>
        </w:rPr>
        <w:t>AGENDA</w:t>
      </w:r>
    </w:p>
    <w:p>
      <w:pPr>
        <w:pStyle w:val="Subtitle"/>
        <w:jc w:val="start"/>
        <w:rPr>
          <w:b w:val="false"/>
          <w:bCs w:val="false"/>
          <w:sz w:val="16"/>
          <w:u w:val="single"/>
        </w:rPr>
      </w:pPr>
      <w:r>
        <w:rPr>
          <w:b w:val="false"/>
          <w:bCs w:val="false"/>
          <w:sz w:val="16"/>
          <w:u w:val="single"/>
        </w:rPr>
      </w:r>
    </w:p>
    <w:p>
      <w:pPr>
        <w:pStyle w:val="Subtitle"/>
        <w:jc w:val="start"/>
        <w:rPr>
          <w:b w:val="false"/>
          <w:bCs w:val="false"/>
        </w:rPr>
      </w:pPr>
      <w:r>
        <w:rPr>
          <w:b w:val="false"/>
          <w:bCs w:val="false"/>
        </w:rPr>
        <w:t>8:30-9:00</w:t>
        <w:tab/>
        <w:t>Continental Breakfast</w:t>
      </w:r>
    </w:p>
    <w:p>
      <w:pPr>
        <w:pStyle w:val="Subtitle"/>
        <w:jc w:val="start"/>
        <w:rPr>
          <w:b w:val="false"/>
          <w:bCs w:val="false"/>
        </w:rPr>
      </w:pPr>
      <w:r>
        <w:rPr>
          <w:b w:val="false"/>
          <w:bCs w:val="false"/>
        </w:rPr>
      </w:r>
    </w:p>
    <w:p>
      <w:pPr>
        <w:pStyle w:val="Subtitle"/>
        <w:jc w:val="start"/>
        <w:rPr>
          <w:b w:val="false"/>
          <w:bCs w:val="false"/>
        </w:rPr>
      </w:pPr>
      <w:r>
        <w:rPr>
          <w:b w:val="false"/>
          <w:bCs w:val="false"/>
        </w:rPr>
        <w:t xml:space="preserve">9:00-9:15 </w:t>
        <w:tab/>
        <w:t>Introductions and Opening Remarks</w:t>
        <w:tab/>
        <w:tab/>
        <w:tab/>
        <w:t>Philip Lewis, Rohm &amp; Haas Company</w:t>
      </w:r>
    </w:p>
    <w:p>
      <w:pPr>
        <w:pStyle w:val="Subtitle"/>
        <w:jc w:val="start"/>
        <w:rPr>
          <w:b w:val="false"/>
          <w:bCs w:val="false"/>
        </w:rPr>
      </w:pPr>
      <w:r>
        <w:rPr>
          <w:b w:val="false"/>
          <w:bCs w:val="false"/>
        </w:rPr>
      </w:r>
    </w:p>
    <w:p>
      <w:pPr>
        <w:pStyle w:val="Subtitle"/>
        <w:jc w:val="start"/>
        <w:rPr>
          <w:b w:val="false"/>
          <w:bCs w:val="false"/>
        </w:rPr>
      </w:pPr>
      <w:r>
        <w:rPr>
          <w:b w:val="false"/>
          <w:bCs w:val="false"/>
        </w:rPr>
        <w:t>9:15-10:30</w:t>
        <w:tab/>
        <w:t>Overview of Recent Center Activities</w:t>
        <w:tab/>
        <w:tab/>
        <w:tab/>
        <w:t>Paul Kleindorfer, Wharton</w:t>
        <w:tab/>
      </w:r>
    </w:p>
    <w:p>
      <w:pPr>
        <w:pStyle w:val="Subtitle"/>
        <w:jc w:val="start"/>
        <w:rPr/>
      </w:pPr>
      <w:r>
        <w:rPr>
          <w:b w:val="false"/>
          <w:bCs w:val="false"/>
        </w:rPr>
        <w:tab/>
        <w:tab/>
      </w:r>
      <w:r>
        <w:rPr>
          <w:b w:val="false"/>
          <w:bCs w:val="false"/>
          <w:i/>
          <w:iCs/>
        </w:rPr>
        <w:t>Near Miss Project</w:t>
        <w:tab/>
      </w:r>
      <w:r>
        <w:rPr>
          <w:b w:val="false"/>
          <w:bCs w:val="false"/>
        </w:rPr>
        <w:tab/>
        <w:tab/>
        <w:tab/>
        <w:tab/>
        <w:tab/>
        <w:t>Ulku Oktem, Wharton</w:t>
      </w:r>
    </w:p>
    <w:p>
      <w:pPr>
        <w:pStyle w:val="Subtitle"/>
        <w:jc w:val="start"/>
        <w:rPr/>
      </w:pPr>
      <w:r>
        <w:rPr>
          <w:b w:val="false"/>
          <w:bCs w:val="false"/>
        </w:rPr>
        <w:tab/>
        <w:tab/>
      </w:r>
      <w:r>
        <w:rPr>
          <w:b w:val="false"/>
          <w:bCs w:val="false"/>
          <w:i/>
          <w:iCs/>
        </w:rPr>
        <w:t>EMS for Public Organizations</w:t>
      </w:r>
      <w:r>
        <w:rPr>
          <w:b w:val="false"/>
          <w:bCs w:val="false"/>
        </w:rPr>
        <w:tab/>
        <w:tab/>
        <w:tab/>
        <w:tab/>
        <w:t>Stan Laskowski, IES, Penn</w:t>
      </w:r>
    </w:p>
    <w:p>
      <w:pPr>
        <w:pStyle w:val="Subtitle"/>
        <w:jc w:val="start"/>
        <w:rPr/>
      </w:pPr>
      <w:r>
        <w:rPr>
          <w:b w:val="false"/>
          <w:bCs w:val="false"/>
        </w:rPr>
        <w:tab/>
        <w:tab/>
      </w:r>
      <w:r>
        <w:rPr>
          <w:b w:val="false"/>
          <w:bCs w:val="false"/>
          <w:i/>
          <w:iCs/>
        </w:rPr>
        <w:t>Third Party Project</w:t>
      </w:r>
      <w:r>
        <w:rPr>
          <w:b w:val="false"/>
          <w:bCs w:val="false"/>
        </w:rPr>
        <w:tab/>
        <w:tab/>
        <w:tab/>
        <w:tab/>
        <w:tab/>
        <w:tab/>
        <w:t>Peter Schmeidler, Wharton</w:t>
      </w:r>
    </w:p>
    <w:p>
      <w:pPr>
        <w:pStyle w:val="Subtitle"/>
        <w:jc w:val="start"/>
        <w:rPr/>
      </w:pPr>
      <w:r>
        <w:rPr>
          <w:b w:val="false"/>
          <w:bCs w:val="false"/>
        </w:rPr>
        <w:tab/>
        <w:tab/>
      </w:r>
      <w:r>
        <w:rPr>
          <w:b w:val="false"/>
          <w:bCs w:val="false"/>
          <w:i/>
          <w:iCs/>
        </w:rPr>
        <w:t>Accident Epidemiology Project</w:t>
      </w:r>
      <w:r>
        <w:rPr>
          <w:b w:val="false"/>
          <w:bCs w:val="false"/>
        </w:rPr>
        <w:tab/>
        <w:tab/>
        <w:tab/>
        <w:tab/>
        <w:t>Michael Elliott, CCEB, Penn</w:t>
      </w:r>
    </w:p>
    <w:p>
      <w:pPr>
        <w:pStyle w:val="Subtitle"/>
        <w:ind w:firstLine="720" w:start="720" w:end="0"/>
        <w:jc w:val="start"/>
        <w:rPr/>
      </w:pPr>
      <w:r>
        <w:rPr>
          <w:b w:val="false"/>
          <w:bCs w:val="false"/>
          <w:i/>
          <w:iCs/>
        </w:rPr>
        <w:t>Managing and Financing Extreme Risk Project</w:t>
        <w:tab/>
        <w:tab/>
      </w:r>
      <w:r>
        <w:rPr>
          <w:b w:val="false"/>
          <w:bCs w:val="false"/>
        </w:rPr>
        <w:t>Howard Kunreuther, Wharton</w:t>
      </w:r>
    </w:p>
    <w:p>
      <w:pPr>
        <w:pStyle w:val="Subtitle"/>
        <w:ind w:firstLine="720" w:start="720" w:end="0"/>
        <w:jc w:val="start"/>
        <w:rPr/>
      </w:pPr>
      <w:r>
        <w:rPr>
          <w:b w:val="false"/>
          <w:bCs w:val="false"/>
          <w:i/>
          <w:iCs/>
        </w:rPr>
        <w:t>Economic Incentives for Building Safer Communities</w:t>
        <w:tab/>
      </w:r>
      <w:r>
        <w:rPr>
          <w:b w:val="false"/>
          <w:bCs w:val="false"/>
        </w:rPr>
        <w:t>Harvey Ryland, IBHS</w:t>
      </w:r>
    </w:p>
    <w:p>
      <w:pPr>
        <w:pStyle w:val="Subtitle"/>
        <w:jc w:val="start"/>
        <w:rPr>
          <w:b w:val="false"/>
          <w:bCs w:val="false"/>
          <w:i/>
          <w:i/>
          <w:iCs/>
        </w:rPr>
      </w:pPr>
      <w:r>
        <w:rPr>
          <w:b w:val="false"/>
          <w:bCs w:val="false"/>
          <w:i/>
          <w:iCs/>
        </w:rPr>
        <w:tab/>
        <w:tab/>
        <w:t>Discussion</w:t>
      </w:r>
    </w:p>
    <w:p>
      <w:pPr>
        <w:pStyle w:val="Subtitle"/>
        <w:jc w:val="start"/>
        <w:rPr>
          <w:b w:val="false"/>
          <w:bCs w:val="false"/>
          <w:i/>
          <w:i/>
          <w:iCs/>
        </w:rPr>
      </w:pPr>
      <w:r>
        <w:rPr>
          <w:b w:val="false"/>
          <w:bCs w:val="false"/>
          <w:i/>
          <w:iCs/>
        </w:rPr>
      </w:r>
    </w:p>
    <w:p>
      <w:pPr>
        <w:pStyle w:val="Subtitle"/>
        <w:jc w:val="start"/>
        <w:rPr>
          <w:b w:val="false"/>
          <w:bCs w:val="false"/>
        </w:rPr>
      </w:pPr>
      <w:r>
        <w:rPr>
          <w:b w:val="false"/>
          <w:bCs w:val="false"/>
        </w:rPr>
        <w:t>10:30-10:50</w:t>
        <w:tab/>
        <w:t>Break</w:t>
      </w:r>
    </w:p>
    <w:p>
      <w:pPr>
        <w:pStyle w:val="Subtitle"/>
        <w:jc w:val="start"/>
        <w:rPr>
          <w:b w:val="false"/>
          <w:bCs w:val="false"/>
        </w:rPr>
      </w:pPr>
      <w:r>
        <w:rPr>
          <w:b w:val="false"/>
          <w:bCs w:val="false"/>
        </w:rPr>
      </w:r>
    </w:p>
    <w:p>
      <w:pPr>
        <w:pStyle w:val="Subtitle"/>
        <w:jc w:val="start"/>
        <w:rPr>
          <w:b w:val="false"/>
          <w:bCs w:val="false"/>
        </w:rPr>
      </w:pPr>
      <w:r>
        <w:rPr>
          <w:b w:val="false"/>
          <w:bCs w:val="false"/>
        </w:rPr>
        <w:t>10:50 – 11:20</w:t>
        <w:tab/>
        <w:t>Introduction to Risk Management of</w:t>
        <w:tab/>
        <w:t xml:space="preserve"> </w:t>
        <w:tab/>
        <w:tab/>
        <w:t xml:space="preserve">Carol Leisenring,  Co-Director </w:t>
      </w:r>
    </w:p>
    <w:p>
      <w:pPr>
        <w:pStyle w:val="Subtitle"/>
        <w:ind w:firstLine="720" w:start="720" w:end="0"/>
        <w:jc w:val="start"/>
        <w:rPr>
          <w:b w:val="false"/>
          <w:bCs w:val="false"/>
        </w:rPr>
      </w:pPr>
      <w:r>
        <w:rPr>
          <w:b w:val="false"/>
          <w:bCs w:val="false"/>
        </w:rPr>
        <w:t>Operational Risks in Banking</w:t>
        <w:tab/>
        <w:tab/>
        <w:tab/>
        <w:tab/>
        <w:t>Wharton Financial Institutions Center</w:t>
      </w:r>
    </w:p>
    <w:p>
      <w:pPr>
        <w:pStyle w:val="Subtitle"/>
        <w:jc w:val="start"/>
        <w:rPr>
          <w:b w:val="false"/>
          <w:bCs w:val="false"/>
        </w:rPr>
      </w:pPr>
      <w:r>
        <w:rPr>
          <w:b w:val="false"/>
          <w:bCs w:val="false"/>
        </w:rPr>
        <w:tab/>
        <w:tab/>
        <w:tab/>
        <w:tab/>
        <w:tab/>
        <w:tab/>
        <w:tab/>
        <w:tab/>
        <w:tab/>
      </w:r>
    </w:p>
    <w:p>
      <w:pPr>
        <w:pStyle w:val="Subtitle"/>
        <w:jc w:val="start"/>
        <w:rPr>
          <w:b w:val="false"/>
          <w:bCs w:val="false"/>
        </w:rPr>
      </w:pPr>
      <w:r>
        <w:rPr>
          <w:b w:val="false"/>
          <w:bCs w:val="false"/>
        </w:rPr>
        <w:t>11:20-12:00</w:t>
        <w:tab/>
        <w:t xml:space="preserve">Introduction to Small Group Discussions:  </w:t>
        <w:tab/>
        <w:tab/>
        <w:t>Moderator: Howard Kunreuther</w:t>
      </w:r>
    </w:p>
    <w:p>
      <w:pPr>
        <w:pStyle w:val="Subtitle"/>
        <w:jc w:val="start"/>
        <w:rPr>
          <w:b w:val="false"/>
          <w:bCs w:val="false"/>
        </w:rPr>
      </w:pPr>
      <w:r>
        <w:rPr>
          <w:b w:val="false"/>
          <w:bCs w:val="false"/>
        </w:rPr>
      </w:r>
    </w:p>
    <w:p>
      <w:pPr>
        <w:pStyle w:val="Subtitle"/>
        <w:jc w:val="start"/>
        <w:rPr/>
      </w:pPr>
      <w:r>
        <w:rPr>
          <w:b w:val="false"/>
          <w:bCs w:val="false"/>
        </w:rPr>
        <w:t>To explore the theme of the day, and as a prelude to the Small Group Discussions, this introductory discussion will focus on Advisory Committee Member views on the fundamental challenges facing risk management professionals and researchers in the wake of September 11</w:t>
      </w:r>
      <w:r>
        <w:rPr>
          <w:b w:val="false"/>
          <w:bCs w:val="false"/>
          <w:vertAlign w:val="superscript"/>
        </w:rPr>
        <w:t>th</w:t>
      </w:r>
      <w:r>
        <w:rPr>
          <w:b w:val="false"/>
          <w:bCs w:val="false"/>
        </w:rPr>
        <w:t>. For Details on possible discussion topics for this session and the following Small Group Discussion, see the Attached.</w:t>
      </w:r>
    </w:p>
    <w:p>
      <w:pPr>
        <w:pStyle w:val="Subtitle"/>
        <w:jc w:val="start"/>
        <w:rPr>
          <w:b w:val="false"/>
          <w:bCs w:val="false"/>
        </w:rPr>
      </w:pPr>
      <w:r>
        <w:rPr>
          <w:b w:val="false"/>
          <w:bCs w:val="false"/>
        </w:rPr>
        <w:t xml:space="preserve"> </w:t>
      </w:r>
      <w:r>
        <w:rPr>
          <w:b w:val="false"/>
          <w:bCs w:val="false"/>
        </w:rPr>
        <w:tab/>
        <w:tab/>
      </w:r>
    </w:p>
    <w:p>
      <w:pPr>
        <w:pStyle w:val="Subtitle"/>
        <w:jc w:val="start"/>
        <w:rPr>
          <w:b w:val="false"/>
          <w:bCs w:val="false"/>
        </w:rPr>
      </w:pPr>
      <w:r>
        <w:rPr>
          <w:b w:val="false"/>
          <w:bCs w:val="false"/>
        </w:rPr>
        <w:t>12:00 – 2:15</w:t>
        <w:tab/>
        <w:t xml:space="preserve">Lunch and Small Group Meetings </w:t>
      </w:r>
    </w:p>
    <w:p>
      <w:pPr>
        <w:pStyle w:val="Subtitle"/>
        <w:jc w:val="start"/>
        <w:rPr>
          <w:b w:val="false"/>
          <w:bCs w:val="false"/>
        </w:rPr>
      </w:pPr>
      <w:r>
        <w:rPr>
          <w:b w:val="false"/>
          <w:bCs w:val="false"/>
        </w:rPr>
      </w:r>
    </w:p>
    <w:p>
      <w:pPr>
        <w:pStyle w:val="Subtitle"/>
        <w:ind w:hanging="1440" w:start="1440" w:end="0"/>
        <w:jc w:val="start"/>
        <w:rPr>
          <w:b w:val="false"/>
          <w:bCs w:val="false"/>
        </w:rPr>
      </w:pPr>
      <w:r>
        <w:rPr>
          <w:b w:val="false"/>
          <w:bCs w:val="false"/>
        </w:rPr>
        <w:t>2:15-3:00</w:t>
        <w:tab/>
        <w:t>Reports of Small Groups and discussion of research targets suggested by these reports.</w:t>
      </w:r>
    </w:p>
    <w:p>
      <w:pPr>
        <w:pStyle w:val="Subtitle"/>
        <w:ind w:hanging="1440" w:start="1440" w:end="0"/>
        <w:jc w:val="start"/>
        <w:rPr>
          <w:b w:val="false"/>
          <w:bCs w:val="false"/>
        </w:rPr>
      </w:pPr>
      <w:r>
        <w:rPr>
          <w:b w:val="false"/>
          <w:bCs w:val="false"/>
        </w:rPr>
      </w:r>
    </w:p>
    <w:p>
      <w:pPr>
        <w:pStyle w:val="Subtitle"/>
        <w:ind w:hanging="1440" w:start="1440" w:end="0"/>
        <w:jc w:val="start"/>
        <w:rPr>
          <w:b w:val="false"/>
          <w:bCs w:val="false"/>
        </w:rPr>
      </w:pPr>
      <w:r>
        <w:rPr>
          <w:b w:val="false"/>
          <w:bCs w:val="false"/>
        </w:rPr>
        <w:t>3:00-3:30</w:t>
        <w:tab/>
        <w:t>Future Plans of Center</w:t>
        <w:tab/>
        <w:tab/>
        <w:tab/>
        <w:tab/>
        <w:t>Philip Lewis</w:t>
      </w:r>
    </w:p>
    <w:p>
      <w:pPr>
        <w:pStyle w:val="Subtitle"/>
        <w:jc w:val="start"/>
        <w:rPr/>
      </w:pPr>
      <w:r>
        <w:rPr>
          <w:b w:val="false"/>
          <w:bCs w:val="false"/>
          <w:sz w:val="28"/>
        </w:rPr>
        <w:tab/>
        <w:tab/>
      </w:r>
      <w:r>
        <w:rPr>
          <w:b w:val="false"/>
          <w:bCs w:val="false"/>
          <w:i/>
          <w:iCs/>
        </w:rPr>
        <w:t>Wharton-Columbia Roundtable</w:t>
      </w:r>
      <w:r>
        <w:rPr>
          <w:b w:val="false"/>
          <w:bCs w:val="false"/>
        </w:rPr>
        <w:tab/>
        <w:tab/>
        <w:tab/>
        <w:t>Howard Kunreuther</w:t>
      </w:r>
    </w:p>
    <w:p>
      <w:pPr>
        <w:pStyle w:val="Subtitle"/>
        <w:jc w:val="start"/>
        <w:rPr/>
      </w:pPr>
      <w:r>
        <w:rPr>
          <w:b w:val="false"/>
          <w:bCs w:val="false"/>
        </w:rPr>
        <w:tab/>
        <w:tab/>
      </w:r>
      <w:r>
        <w:rPr>
          <w:b w:val="false"/>
          <w:bCs w:val="false"/>
          <w:i/>
          <w:iCs/>
        </w:rPr>
        <w:t>National Academy of Engineering Workshop</w:t>
      </w:r>
      <w:r>
        <w:rPr>
          <w:b w:val="false"/>
          <w:bCs w:val="false"/>
        </w:rPr>
        <w:tab/>
        <w:tab/>
        <w:t>James Phimister, Wharton and NAE</w:t>
      </w:r>
    </w:p>
    <w:p>
      <w:pPr>
        <w:pStyle w:val="Subtitle"/>
        <w:jc w:val="start"/>
        <w:rPr/>
      </w:pPr>
      <w:r>
        <w:rPr>
          <w:b w:val="false"/>
          <w:bCs w:val="false"/>
        </w:rPr>
        <w:tab/>
        <w:tab/>
      </w:r>
      <w:r>
        <w:rPr>
          <w:b w:val="false"/>
          <w:bCs w:val="false"/>
          <w:i/>
          <w:iCs/>
        </w:rPr>
        <w:t>Pulse of the Profession Project</w:t>
      </w:r>
      <w:r>
        <w:rPr>
          <w:b w:val="false"/>
          <w:bCs w:val="false"/>
        </w:rPr>
        <w:tab/>
        <w:tab/>
        <w:tab/>
        <w:t>Paul Kleindorfer</w:t>
      </w:r>
    </w:p>
    <w:p>
      <w:pPr>
        <w:pStyle w:val="Subtitle"/>
        <w:jc w:val="start"/>
        <w:rPr/>
      </w:pPr>
      <w:r>
        <w:rPr>
          <w:b w:val="false"/>
          <w:bCs w:val="false"/>
        </w:rPr>
        <w:tab/>
        <w:tab/>
      </w:r>
      <w:r>
        <w:rPr>
          <w:b w:val="false"/>
          <w:bCs w:val="false"/>
          <w:i/>
          <w:iCs/>
        </w:rPr>
        <w:t>EPA Cooperative Agreement Renewal Proposal</w:t>
      </w:r>
      <w:r>
        <w:rPr>
          <w:b w:val="false"/>
          <w:bCs w:val="false"/>
        </w:rPr>
        <w:tab/>
        <w:t>Pat McNulty, Wharton</w:t>
      </w:r>
    </w:p>
    <w:p>
      <w:pPr>
        <w:pStyle w:val="Subtitle"/>
        <w:jc w:val="start"/>
        <w:rPr>
          <w:b w:val="false"/>
          <w:bCs w:val="false"/>
        </w:rPr>
      </w:pPr>
      <w:r>
        <w:rPr>
          <w:b w:val="false"/>
          <w:bCs w:val="false"/>
        </w:rPr>
      </w:r>
    </w:p>
    <w:p>
      <w:pPr>
        <w:pStyle w:val="Subtitle"/>
        <w:jc w:val="start"/>
        <w:rPr>
          <w:b w:val="false"/>
          <w:bCs w:val="false"/>
        </w:rPr>
      </w:pPr>
      <w:r>
        <w:rPr>
          <w:b w:val="false"/>
          <w:bCs w:val="false"/>
        </w:rPr>
        <w:t>3:30</w:t>
        <w:tab/>
        <w:tab/>
        <w:t>Adjourn</w:t>
      </w:r>
    </w:p>
    <w:p>
      <w:pPr>
        <w:pStyle w:val="Subtitle"/>
        <w:jc w:val="start"/>
        <w:rPr>
          <w:b w:val="false"/>
          <w:bCs w:val="false"/>
        </w:rPr>
      </w:pPr>
      <w:r>
        <w:rPr>
          <w:b w:val="false"/>
          <w:bCs w:val="false"/>
        </w:rPr>
      </w:r>
      <w:r>
        <w:br w:type="page"/>
      </w:r>
    </w:p>
    <w:p>
      <w:pPr>
        <w:pStyle w:val="Subtitle"/>
        <w:rPr>
          <w:b w:val="false"/>
          <w:bCs w:val="false"/>
          <w:sz w:val="32"/>
        </w:rPr>
      </w:pPr>
      <w:r>
        <w:rPr>
          <w:b w:val="false"/>
          <w:bCs w:val="false"/>
          <w:sz w:val="32"/>
        </w:rPr>
        <w:t>Possible Issues for Discussion on the Theme of the Advisory Committee Meeting</w:t>
      </w:r>
    </w:p>
    <w:p>
      <w:pPr>
        <w:pStyle w:val="Subtitle"/>
        <w:rPr>
          <w:b w:val="false"/>
          <w:bCs w:val="false"/>
          <w:sz w:val="32"/>
        </w:rPr>
      </w:pPr>
      <w:r>
        <w:rPr>
          <w:b w:val="false"/>
          <w:bCs w:val="false"/>
          <w:sz w:val="32"/>
        </w:rPr>
      </w:r>
    </w:p>
    <w:p>
      <w:pPr>
        <w:pStyle w:val="Subtitle"/>
        <w:rPr>
          <w:i/>
          <w:i/>
          <w:iCs/>
          <w:sz w:val="28"/>
          <w:u w:val="single"/>
        </w:rPr>
      </w:pPr>
      <w:r>
        <w:rPr>
          <w:i/>
          <w:iCs/>
          <w:sz w:val="28"/>
          <w:u w:val="single"/>
        </w:rPr>
        <w:t>Risk Management in an Uncertain World</w:t>
      </w:r>
    </w:p>
    <w:p>
      <w:pPr>
        <w:pStyle w:val="Subtitle"/>
        <w:rPr>
          <w:i/>
          <w:i/>
          <w:iCs/>
          <w:sz w:val="28"/>
          <w:u w:val="single"/>
        </w:rPr>
      </w:pPr>
      <w:r>
        <w:rPr>
          <w:i/>
          <w:iCs/>
          <w:sz w:val="28"/>
          <w:u w:val="single"/>
        </w:rPr>
      </w:r>
    </w:p>
    <w:p>
      <w:pPr>
        <w:pStyle w:val="Normal"/>
        <w:numPr>
          <w:ilvl w:val="0"/>
          <w:numId w:val="2"/>
        </w:numPr>
        <w:rPr/>
      </w:pPr>
      <w:r>
        <w:rPr/>
        <w:t>What has changed in the organizations and practices of Advisory Committee members since 9/11, and what are the key challenges resulting from these changes?</w:t>
      </w:r>
    </w:p>
    <w:p>
      <w:pPr>
        <w:pStyle w:val="Normal"/>
        <w:ind w:start="360" w:end="0"/>
        <w:rPr/>
      </w:pPr>
      <w:r>
        <w:rPr/>
      </w:r>
    </w:p>
    <w:p>
      <w:pPr>
        <w:pStyle w:val="Normal"/>
        <w:numPr>
          <w:ilvl w:val="0"/>
          <w:numId w:val="2"/>
        </w:numPr>
        <w:rPr/>
      </w:pPr>
      <w:r>
        <w:rPr/>
        <w:t>Issues associated with September 11</w:t>
      </w:r>
      <w:r>
        <w:rPr>
          <w:vertAlign w:val="superscript"/>
        </w:rPr>
        <w:t>th</w:t>
      </w:r>
      <w:r>
        <w:rPr/>
        <w:t xml:space="preserve"> event and the role the Risk Center could play.</w:t>
      </w:r>
    </w:p>
    <w:p>
      <w:pPr>
        <w:pStyle w:val="Normal"/>
        <w:ind w:start="360" w:end="0"/>
        <w:rPr/>
      </w:pPr>
      <w:r>
        <w:rPr/>
        <w:t xml:space="preserve"> </w:t>
      </w:r>
    </w:p>
    <w:p>
      <w:pPr>
        <w:pStyle w:val="Normal"/>
        <w:numPr>
          <w:ilvl w:val="1"/>
          <w:numId w:val="2"/>
        </w:numPr>
        <w:spacing w:before="60" w:after="0"/>
        <w:rPr/>
      </w:pPr>
      <w:r>
        <w:rPr/>
        <w:t>What happened on 9/11 in terms of immediate, intermediate, and longer-term impacts on society?</w:t>
      </w:r>
    </w:p>
    <w:p>
      <w:pPr>
        <w:pStyle w:val="Normal"/>
        <w:numPr>
          <w:ilvl w:val="0"/>
          <w:numId w:val="3"/>
        </w:numPr>
        <w:spacing w:before="60" w:after="0"/>
        <w:rPr/>
      </w:pPr>
      <w:r>
        <w:rPr/>
        <w:t xml:space="preserve">Did existing instruments of risk management perform as expected? </w:t>
      </w:r>
    </w:p>
    <w:p>
      <w:pPr>
        <w:pStyle w:val="Normal"/>
        <w:numPr>
          <w:ilvl w:val="0"/>
          <w:numId w:val="3"/>
        </w:numPr>
        <w:spacing w:before="60" w:after="0"/>
        <w:rPr/>
      </w:pPr>
      <w:r>
        <w:rPr/>
        <w:t xml:space="preserve">Have there been changes in socio-psychological attitudes toward risk and management? </w:t>
      </w:r>
    </w:p>
    <w:p>
      <w:pPr>
        <w:pStyle w:val="Normal"/>
        <w:numPr>
          <w:ilvl w:val="0"/>
          <w:numId w:val="3"/>
        </w:numPr>
        <w:spacing w:before="60" w:after="0"/>
        <w:rPr/>
      </w:pPr>
      <w:r>
        <w:rPr/>
        <w:t>What are the changing relationships among nations and their effects on globalization?</w:t>
      </w:r>
    </w:p>
    <w:p>
      <w:pPr>
        <w:pStyle w:val="Normal"/>
        <w:numPr>
          <w:ilvl w:val="0"/>
          <w:numId w:val="3"/>
        </w:numPr>
        <w:spacing w:before="60" w:after="0"/>
        <w:rPr/>
      </w:pPr>
      <w:r>
        <w:rPr/>
        <w:t>What is the impact on institutional arrangements for risk management, especially public private partnerships?  How long will the demand for a stronger public role last?  Are permanent changes likely to occur in these institutional arrangements?</w:t>
      </w:r>
    </w:p>
    <w:p>
      <w:pPr>
        <w:pStyle w:val="Normal"/>
        <w:numPr>
          <w:ilvl w:val="0"/>
          <w:numId w:val="3"/>
        </w:numPr>
        <w:spacing w:before="60" w:after="0"/>
        <w:rPr/>
      </w:pPr>
      <w:r>
        <w:rPr/>
        <w:t>Are the changes in perception of risk temporary or permanent?  Has this lead to a new socio-psychological dynamic in terms of policy implications?</w:t>
      </w:r>
    </w:p>
    <w:p>
      <w:pPr>
        <w:pStyle w:val="Normal"/>
        <w:rPr/>
      </w:pPr>
      <w:r>
        <w:rPr/>
      </w:r>
    </w:p>
    <w:p>
      <w:pPr>
        <w:pStyle w:val="Normal"/>
        <w:numPr>
          <w:ilvl w:val="0"/>
          <w:numId w:val="2"/>
        </w:numPr>
        <w:rPr/>
      </w:pPr>
      <w:r>
        <w:rPr/>
        <w:t xml:space="preserve">Are there lessons from natural and technological disasters that shed light on public-private partnerships that are relevant for dealing with terrorism, and </w:t>
      </w:r>
      <w:r>
        <w:rPr>
          <w:i/>
        </w:rPr>
        <w:t>vice versa</w:t>
      </w:r>
      <w:r>
        <w:rPr/>
        <w:t>?</w:t>
      </w:r>
    </w:p>
    <w:p>
      <w:pPr>
        <w:pStyle w:val="Normal"/>
        <w:ind w:start="360" w:end="0"/>
        <w:rPr/>
      </w:pPr>
      <w:r>
        <w:rPr/>
        <w:t xml:space="preserve"> </w:t>
      </w:r>
    </w:p>
    <w:p>
      <w:pPr>
        <w:pStyle w:val="Normal"/>
        <w:numPr>
          <w:ilvl w:val="0"/>
          <w:numId w:val="2"/>
        </w:numPr>
        <w:rPr/>
      </w:pPr>
      <w:r>
        <w:rPr/>
        <w:t>How can one build on the risk assessment work of the Risk Center to reduce the uncertainty of these events and to develop a risk management strategy for dealing with extreme events?</w:t>
      </w:r>
    </w:p>
    <w:p>
      <w:pPr>
        <w:pStyle w:val="Normal"/>
        <w:rPr/>
      </w:pPr>
      <w:r>
        <w:rPr/>
      </w:r>
    </w:p>
    <w:p>
      <w:pPr>
        <w:pStyle w:val="Normal"/>
        <w:numPr>
          <w:ilvl w:val="0"/>
          <w:numId w:val="2"/>
        </w:numPr>
        <w:rPr/>
      </w:pPr>
      <w:r>
        <w:rPr/>
        <w:t xml:space="preserve">What role does risk perception play in communicating information on alternative ways of coping with the extreme event problem? For example what types of data should be presented and in what form on the nature of the risk?  How should one address the public’s fear and other emotional concerns associated with these events? </w:t>
      </w:r>
    </w:p>
    <w:p>
      <w:pPr>
        <w:pStyle w:val="Normal"/>
        <w:ind w:firstLine="360" w:end="0"/>
        <w:rPr>
          <w:b/>
        </w:rPr>
      </w:pPr>
      <w:r>
        <w:rPr>
          <w:b/>
        </w:rPr>
      </w:r>
    </w:p>
    <w:p>
      <w:pPr>
        <w:pStyle w:val="Normal"/>
        <w:numPr>
          <w:ilvl w:val="0"/>
          <w:numId w:val="2"/>
        </w:numPr>
        <w:rPr/>
      </w:pPr>
      <w:r>
        <w:rPr/>
        <w:t>What are the appropriate programs and policies for reducing the likelihood and consequences of these events? For example, what type of protective equipment should be installed in airplanes and what measures should be taken at airports?  What about other infrastructure, and significant components of the built environment?  Is the standard risk management paradigm appropriate to identifying priorities in the new environment?  If not, in what ways does it need to be changed?</w:t>
      </w:r>
    </w:p>
    <w:p>
      <w:pPr>
        <w:pStyle w:val="Normal"/>
        <w:rPr/>
      </w:pPr>
      <w:r>
        <w:rPr/>
      </w:r>
    </w:p>
    <w:p>
      <w:pPr>
        <w:pStyle w:val="Normal"/>
        <w:numPr>
          <w:ilvl w:val="0"/>
          <w:numId w:val="2"/>
        </w:numPr>
        <w:rPr/>
      </w:pPr>
      <w:r>
        <w:rPr/>
        <w:t>What role can insurance/ reinsurance/capital markets play in providing financial protection from future events?   What role should the government play in dealing with catastrophic losses from these events?</w:t>
      </w:r>
    </w:p>
    <w:p>
      <w:pPr>
        <w:pStyle w:val="Normal"/>
        <w:rPr/>
      </w:pPr>
      <w:r>
        <w:rPr/>
      </w:r>
    </w:p>
    <w:p>
      <w:pPr>
        <w:pStyle w:val="Normal"/>
        <w:numPr>
          <w:ilvl w:val="0"/>
          <w:numId w:val="2"/>
        </w:numPr>
        <w:rPr/>
      </w:pPr>
      <w:r>
        <w:rPr/>
        <w:t>What type of benefit-cost analyses should be undertaken to evaluate proposed programs and strategies?  How does one incorporate in these analyses the uncertainties associated with the risk? How does one measure and evaluate the impacts of a direct nature (e.g. damage to buildings; deaths and fatalities) and those that are more indirect (e.g. business interruption, social stress)?</w:t>
      </w:r>
    </w:p>
    <w:p>
      <w:pPr>
        <w:pStyle w:val="Normal"/>
        <w:rPr/>
      </w:pPr>
      <w:r>
        <w:rPr/>
      </w:r>
    </w:p>
    <w:p>
      <w:pPr>
        <w:pStyle w:val="Normal"/>
        <w:jc w:val="center"/>
        <w:rPr/>
      </w:pPr>
      <w:r>
        <w:rPr/>
        <w:t>****</w:t>
      </w:r>
    </w:p>
    <w:p>
      <w:pPr>
        <w:pStyle w:val="Normal"/>
        <w:rPr/>
      </w:pPr>
      <w:r>
        <w:rPr/>
      </w:r>
    </w:p>
    <w:p>
      <w:pPr>
        <w:pStyle w:val="Normal"/>
        <w:rPr/>
      </w:pPr>
      <w:r>
        <w:rPr/>
      </w:r>
    </w:p>
    <w:p>
      <w:pPr>
        <w:pStyle w:val="Subtitle"/>
        <w:rPr>
          <w:i/>
          <w:i/>
          <w:iCs/>
          <w:sz w:val="28"/>
          <w:u w:val="single"/>
        </w:rPr>
      </w:pPr>
      <w:r>
        <w:rPr>
          <w:i/>
          <w:iCs/>
          <w:sz w:val="28"/>
          <w:u w:val="single"/>
        </w:rPr>
      </w:r>
    </w:p>
    <w:sectPr>
      <w:type w:val="nextPage"/>
      <w:pgSz w:w="12240" w:h="15840"/>
      <w:pgMar w:left="720" w:right="72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lvl w:ilvl="1">
      <w:start w:val="1"/>
      <w:numFmt w:val="bullet"/>
      <w:lvlText w:val=""/>
      <w:lvlJc w:val="start"/>
      <w:pPr>
        <w:tabs>
          <w:tab w:val="num" w:pos="1440"/>
        </w:tabs>
        <w:ind w:start="1440" w:hanging="360"/>
      </w:pPr>
      <w:rPr>
        <w:rFonts w:ascii="Symbol" w:hAnsi="Symbol" w:cs="Symbol" w:hint="default"/>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3">
    <w:lvl w:ilvl="0">
      <w:start w:val="1"/>
      <w:numFmt w:val="bullet"/>
      <w:lvlText w:val=""/>
      <w:lvlJc w:val="start"/>
      <w:pPr>
        <w:tabs>
          <w:tab w:val="num" w:pos="1440"/>
        </w:tabs>
        <w:ind w:start="144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5">
    <w:name w:val="heading 5"/>
    <w:basedOn w:val="Normal"/>
    <w:next w:val="Normal"/>
    <w:qFormat/>
    <w:pPr>
      <w:keepNext w:val="true"/>
      <w:widowControl w:val="false"/>
      <w:numPr>
        <w:ilvl w:val="4"/>
        <w:numId w:val="1"/>
      </w:numPr>
      <w:ind w:hanging="0" w:start="216" w:end="0"/>
      <w:jc w:val="center"/>
      <w:outlineLvl w:val="4"/>
    </w:pPr>
    <w:rPr>
      <w:b/>
      <w:color w:val="000000"/>
    </w:rPr>
  </w:style>
  <w:style w:type="character" w:styleId="WW8Num1z0">
    <w:name w:val="WW8Num1z0"/>
    <w:qFormat/>
    <w:rPr/>
  </w:style>
  <w:style w:type="character" w:styleId="WW8Num1z1">
    <w:name w:val="WW8Num1z1"/>
    <w:qFormat/>
    <w:rPr>
      <w:rFonts w:ascii="Symbol" w:hAnsi="Symbol" w:cs="Symbol"/>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DefaultParagraphFont">
    <w:name w:val="Default Paragraph Font"/>
    <w:qFormat/>
    <w:rPr/>
  </w:style>
  <w:style w:type="paragraph" w:styleId="Heading">
    <w:name w:val="Heading"/>
    <w:basedOn w:val="Normal"/>
    <w:next w:val="BodyText"/>
    <w:qFormat/>
    <w:pPr>
      <w:jc w:val="center"/>
    </w:pPr>
    <w:rPr>
      <w:b/>
      <w:bCs/>
      <w:sz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2001-11-26T13:27:00Z</dcterms:created>
  <dc:creator>tconvery</dc:creator>
  <dc:description/>
  <dc:language>en-CA</dc:language>
  <cp:lastModifiedBy>fangf</cp:lastModifiedBy>
  <cp:lastPrinted>2001-11-26T10:56:00Z</cp:lastPrinted>
  <dcterms:modified xsi:type="dcterms:W3CDTF">2001-11-26T13:27:00Z</dcterms:modified>
  <cp:revision>2</cp:revision>
  <dc:subject/>
  <dc:title>Wharton Risk Management and Decision Processes Center</dc:title>
</cp:coreProperties>
</file>