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tabs>
          <w:tab w:val="clear" w:pos="7200"/>
        </w:tabs>
        <w:rPr/>
      </w:pPr>
      <w:bookmarkStart w:id="0" w:name="Privileged"/>
      <w:bookmarkStart w:id="1" w:name="Date"/>
      <w:bookmarkStart w:id="2" w:name="Letter"/>
      <w:bookmarkEnd w:id="0"/>
      <w:bookmarkEnd w:id="2"/>
      <w:r>
        <w:rPr/>
        <w:t>November 21, 2001</w:t>
      </w:r>
      <w:bookmarkEnd w:id="1"/>
    </w:p>
    <w:p>
      <w:pPr>
        <w:pStyle w:val="DirectDial"/>
        <w:spacing w:before="0" w:after="60"/>
        <w:rPr/>
      </w:pPr>
      <w:r>
        <w:rPr/>
        <w:tab/>
        <w:t>Writer’s Direct Contact</w:t>
      </w:r>
    </w:p>
    <w:p>
      <w:pPr>
        <w:pStyle w:val="DirectDial"/>
        <w:rPr/>
      </w:pPr>
      <w:r>
        <w:rPr/>
        <w:tab/>
        <w:t>(202) 778-1641</w:t>
      </w:r>
    </w:p>
    <w:p>
      <w:pPr>
        <w:pStyle w:val="DirectDial"/>
        <w:rPr/>
      </w:pPr>
      <w:r>
        <w:rPr/>
        <w:tab/>
        <w:t>bbarnard@mofo.com</w:t>
      </w:r>
    </w:p>
    <w:p>
      <w:pPr>
        <w:pStyle w:val="Normal"/>
        <w:rPr/>
      </w:pPr>
      <w:r>
        <w:rPr/>
      </w:r>
    </w:p>
    <w:p>
      <w:pPr>
        <w:pStyle w:val="EnvelopeAddress"/>
        <w:rPr/>
      </w:pPr>
      <w:r>
        <w:rPr/>
        <w:t>The Honorable David P. Boergers</w:t>
      </w:r>
    </w:p>
    <w:p>
      <w:pPr>
        <w:pStyle w:val="EnvelopeAddress"/>
        <w:rPr/>
      </w:pPr>
      <w:r>
        <w:rPr/>
        <w:t>Secretary</w:t>
      </w:r>
    </w:p>
    <w:p>
      <w:pPr>
        <w:pStyle w:val="EnvelopeAddress"/>
        <w:rPr/>
      </w:pPr>
      <w:r>
        <w:rPr/>
        <w:t>Federal Energy Regulatory Commission</w:t>
      </w:r>
    </w:p>
    <w:p>
      <w:pPr>
        <w:pStyle w:val="EnvelopeAddress"/>
        <w:rPr/>
      </w:pPr>
      <w:r>
        <w:rPr/>
        <w:t>888 First Street, N.E.</w:t>
      </w:r>
    </w:p>
    <w:p>
      <w:pPr>
        <w:pStyle w:val="EnvelopeAddress"/>
        <w:rPr/>
      </w:pPr>
      <w:r>
        <w:rPr/>
        <w:t>Washington, D.C. 20426</w:t>
      </w:r>
    </w:p>
    <w:p>
      <w:pPr>
        <w:pStyle w:val="EnvelopeAddress"/>
        <w:rPr/>
      </w:pPr>
      <w:r>
        <w:rPr/>
      </w:r>
    </w:p>
    <w:p>
      <w:pPr>
        <w:pStyle w:val="ReLine"/>
        <w:rPr/>
      </w:pPr>
      <w:r>
        <w:rPr/>
        <w:t>Re:</w:t>
        <w:tab/>
        <w:t>San Diego Gas &amp; Electric Co., et al., Docket Nos. EL00-95-045, et al.</w:t>
      </w:r>
    </w:p>
    <w:p>
      <w:pPr>
        <w:pStyle w:val="Salutation"/>
        <w:rPr/>
      </w:pPr>
      <w:r>
        <w:rPr/>
        <w:t>Dear Mr. Boergers:</w:t>
      </w:r>
    </w:p>
    <w:p>
      <w:pPr>
        <w:pStyle w:val="BodyText"/>
        <w:rPr/>
      </w:pPr>
      <w:bookmarkStart w:id="3" w:name="Letter"/>
      <w:bookmarkEnd w:id="3"/>
      <w:r>
        <w:rPr/>
        <w:t>In response to Judge Birchman’s November 15, 2001 order in the above-referenced docket, AES Placerita, Inc. states that no portion of the testimony of Jennifer Lehmann filed on November 6, 2001 was filed under seal.  The testimony and attached exhibit are not confidential.</w:t>
      </w:r>
    </w:p>
    <w:p>
      <w:pPr>
        <w:pStyle w:val="SignatureBlock"/>
        <w:rPr/>
      </w:pPr>
      <w:r>
        <w:rPr/>
        <w:t>Respectfully submitted,</w:t>
      </w:r>
    </w:p>
    <w:p>
      <w:pPr>
        <w:pStyle w:val="SignatureBlock"/>
        <w:rPr/>
      </w:pPr>
      <w:r>
        <w:rPr/>
      </w:r>
    </w:p>
    <w:p>
      <w:pPr>
        <w:pStyle w:val="SignatureBlock"/>
        <w:rPr/>
      </w:pPr>
      <w:r>
        <w:rPr/>
        <w:t>/s/</w:t>
      </w:r>
    </w:p>
    <w:p>
      <w:pPr>
        <w:pStyle w:val="SignatureBlock"/>
        <w:rPr/>
      </w:pPr>
      <w:r>
        <w:rPr/>
      </w:r>
    </w:p>
    <w:p>
      <w:pPr>
        <w:pStyle w:val="SignatureBlock"/>
        <w:rPr/>
      </w:pPr>
      <w:r>
        <w:rPr/>
        <w:t>Bruce J. Barnard</w:t>
      </w:r>
    </w:p>
    <w:p>
      <w:pPr>
        <w:pStyle w:val="SignatureBlock"/>
        <w:rPr/>
      </w:pPr>
      <w:r>
        <w:rPr/>
        <w:t>Attorney for AES Placerita, Inc.</w:t>
      </w:r>
    </w:p>
    <w:p>
      <w:pPr>
        <w:pStyle w:val="SignatureBlock"/>
        <w:rPr/>
      </w:pPr>
      <w:r>
        <w:rPr/>
      </w:r>
    </w:p>
    <w:p>
      <w:pPr>
        <w:pStyle w:val="Normal"/>
        <w:rPr/>
      </w:pPr>
      <w:r>
        <w:rPr/>
        <w:t>Attachments</w:t>
      </w:r>
    </w:p>
    <w:p>
      <w:pPr>
        <w:pStyle w:val="ccbcc"/>
        <w:rPr/>
      </w:pPr>
      <w:r>
        <w:rPr/>
        <w:t>cc:</w:t>
        <w:tab/>
        <w:t>Presiding Administrative Law Judge Bruce L. Birchman</w:t>
        <w:br/>
        <w:t>All Participants by ListServ</w:t>
      </w:r>
    </w:p>
    <w:p>
      <w:pPr>
        <w:pStyle w:val="Normal"/>
        <w:rPr/>
      </w:pPr>
      <w:r>
        <w:rPr/>
      </w:r>
      <w:bookmarkStart w:id="4" w:name="Privileged"/>
      <w:bookmarkStart w:id="5" w:name="Privileged"/>
      <w:bookmarkEnd w:id="5"/>
    </w:p>
    <w:sectPr>
      <w:headerReference w:type="default" r:id="rId2"/>
      <w:headerReference w:type="first" r:id="rId3"/>
      <w:footerReference w:type="default" r:id="rId4"/>
      <w:footerReference w:type="first" r:id="rId5"/>
      <w:type w:val="nextPage"/>
      <w:pgSz w:w="12240" w:h="15840"/>
      <w:pgMar w:left="1915" w:right="1800" w:gutter="0" w:header="792" w:top="848"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 w:name="Liberation Sans">
    <w:altName w:val="Arial"/>
    <w:charset w:val="01" w:characterSet="utf-8"/>
    <w:family w:val="swiss"/>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320" w:leader="none"/>
        <w:tab w:val="right" w:pos="8467" w:leader="none"/>
        <w:tab w:val="right" w:pos="8550" w:leader="none"/>
      </w:tabs>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320" w:leader="none"/>
        <w:tab w:val="right" w:pos="8467" w:leader="none"/>
        <w:tab w:val="right" w:pos="8550"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s>
      <w:spacing w:before="120" w:after="240"/>
      <w:rPr/>
    </w:pPr>
    <w:bookmarkStart w:id="6" w:name="MoFo"/>
    <w:bookmarkEnd w:id="6"/>
    <w:r>
      <w:rPr/>
      <w:tab/>
    </w:r>
    <w:r>
      <w:rPr>
        <w:spacing w:val="40"/>
      </w:rPr>
      <w:drawing>
        <wp:inline distT="0" distB="0" distL="0" distR="0">
          <wp:extent cx="2518410" cy="1701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tretch>
                    <a:fillRect/>
                  </a:stretch>
                </pic:blipFill>
                <pic:spPr bwMode="auto">
                  <a:xfrm>
                    <a:off x="0" y="0"/>
                    <a:ext cx="2518410" cy="170180"/>
                  </a:xfrm>
                  <a:prstGeom prst="rect">
                    <a:avLst/>
                  </a:prstGeom>
                </pic:spPr>
              </pic:pic>
            </a:graphicData>
          </a:graphic>
        </wp:inline>
      </w:drawing>
    </w:r>
  </w:p>
  <w:p>
    <w:pPr>
      <w:pStyle w:val="Header"/>
      <w:tabs>
        <w:tab w:val="clear" w:pos="9360"/>
        <w:tab w:val="center" w:pos="4320" w:leader="none"/>
      </w:tabs>
      <w:spacing w:before="120" w:after="240"/>
      <w:jc w:val="center"/>
      <w:rPr/>
    </w:pPr>
    <w:bookmarkStart w:id="7" w:name="MoFo"/>
    <w:bookmarkEnd w:id="7"/>
    <w:r>
      <w:rPr/>
      <w:drawing>
        <wp:inline distT="0" distB="0" distL="0" distR="0">
          <wp:extent cx="1234440" cy="304800"/>
          <wp:effectExtent l="0" t="0" r="0" b="0"/>
          <wp:docPr id="2" name="TO-IM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IM2" descr="" title=""/>
                  <pic:cNvPicPr>
                    <a:picLocks noChangeAspect="1" noChangeArrowheads="1"/>
                  </pic:cNvPicPr>
                </pic:nvPicPr>
                <pic:blipFill>
                  <a:blip r:embed="rId2"/>
                  <a:stretch>
                    <a:fillRect/>
                  </a:stretch>
                </pic:blipFill>
                <pic:spPr bwMode="auto">
                  <a:xfrm>
                    <a:off x="0" y="0"/>
                    <a:ext cx="1234440" cy="304800"/>
                  </a:xfrm>
                  <a:prstGeom prst="rect">
                    <a:avLst/>
                  </a:prstGeom>
                </pic:spPr>
              </pic:pic>
            </a:graphicData>
          </a:graphic>
        </wp:inline>
      </w:drawing>
    </w:r>
  </w:p>
  <w:p>
    <w:pPr>
      <w:pStyle w:val="Header"/>
      <w:rPr/>
    </w:pPr>
    <w:r>
      <w:rPr/>
      <w:t>(HeaderNames)</w:t>
    </w:r>
  </w:p>
  <w:p>
    <w:pPr>
      <w:pStyle w:val="Header"/>
      <w:rPr/>
    </w:pPr>
    <w:r>
      <w:rPr/>
      <w:fldChar w:fldCharType="begin"/>
    </w:r>
    <w:r>
      <w:rPr/>
      <w:instrText xml:space="preserve"> REF Date \h </w:instrText>
    </w:r>
    <w:r>
      <w:rPr/>
      <w:fldChar w:fldCharType="separate"/>
    </w:r>
    <w:r>
      <w:rPr/>
      <w:t>November 21, 2001</w:t>
    </w:r>
    <w:r>
      <w:rPr/>
      <w:fldChar w:fldCharType="end"/>
    </w:r>
  </w:p>
  <w:p>
    <w:pPr>
      <w:pStyle w:val="Header"/>
      <w:spacing w:before="0" w:after="480"/>
      <w:rPr/>
    </w:pPr>
    <w:r>
      <w:rPr/>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158" w:end="0"/>
      <w:jc w:val="center"/>
      <w:rPr/>
    </w:pPr>
    <w:r>
      <w:rPr/>
      <w:drawing>
        <wp:inline distT="0" distB="0" distL="0" distR="0">
          <wp:extent cx="5407660" cy="1516380"/>
          <wp:effectExtent l="0" t="0" r="0" b="0"/>
          <wp:docPr id="3" name="DC"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C" descr="" title=""/>
                  <pic:cNvPicPr>
                    <a:picLocks noChangeAspect="1" noChangeArrowheads="1"/>
                  </pic:cNvPicPr>
                </pic:nvPicPr>
                <pic:blipFill>
                  <a:blip r:embed="rId1"/>
                  <a:srcRect l="-6" t="-23" r="-6" b="-23"/>
                  <a:stretch>
                    <a:fillRect/>
                  </a:stretch>
                </pic:blipFill>
                <pic:spPr bwMode="auto">
                  <a:xfrm>
                    <a:off x="0" y="0"/>
                    <a:ext cx="5407660" cy="151638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1440"/>
        </w:tabs>
        <w:ind w:start="1440" w:hanging="720"/>
      </w:pPr>
    </w:lvl>
    <w:lvl w:ilvl="2">
      <w:start w:val="1"/>
      <w:pStyle w:val="Heading3"/>
      <w:numFmt w:val="decimal"/>
      <w:lvlText w:val="%3."/>
      <w:lvlJc w:val="start"/>
      <w:pPr>
        <w:tabs>
          <w:tab w:val="num" w:pos="2160"/>
        </w:tabs>
        <w:ind w:start="2160" w:hanging="720"/>
      </w:pPr>
    </w:lvl>
    <w:lvl w:ilvl="3">
      <w:start w:val="1"/>
      <w:pStyle w:val="Heading4"/>
      <w:numFmt w:val="lowerLetter"/>
      <w:lvlText w:val="(%4)"/>
      <w:lvlJc w:val="start"/>
      <w:pPr>
        <w:tabs>
          <w:tab w:val="num" w:pos="2880"/>
        </w:tabs>
        <w:ind w:start="2880" w:hanging="720"/>
      </w:pPr>
    </w:lvl>
    <w:lvl w:ilvl="4">
      <w:start w:val="1"/>
      <w:pStyle w:val="Heading5"/>
      <w:numFmt w:val="decimal"/>
      <w:lvlText w:val="(%5)"/>
      <w:lvlJc w:val="start"/>
      <w:pPr>
        <w:tabs>
          <w:tab w:val="num" w:pos="0"/>
        </w:tabs>
        <w:ind w:start="2520" w:hanging="720"/>
      </w:pPr>
    </w:lvl>
    <w:lvl w:ilvl="5">
      <w:start w:val="1"/>
      <w:pStyle w:val="Heading6"/>
      <w:numFmt w:val="lowerLetter"/>
      <w:lvlText w:val="(%6)"/>
      <w:lvlJc w:val="start"/>
      <w:pPr>
        <w:tabs>
          <w:tab w:val="num" w:pos="0"/>
        </w:tabs>
        <w:ind w:start="2880" w:hanging="720"/>
      </w:pPr>
    </w:lvl>
    <w:lvl w:ilvl="6">
      <w:start w:val="1"/>
      <w:pStyle w:val="Heading7"/>
      <w:numFmt w:val="lowerRoman"/>
      <w:lvlText w:val="(%7)"/>
      <w:lvlJc w:val="start"/>
      <w:pPr>
        <w:tabs>
          <w:tab w:val="num" w:pos="0"/>
        </w:tabs>
        <w:ind w:start="3240" w:hanging="720"/>
      </w:pPr>
    </w:lvl>
    <w:lvl w:ilvl="7">
      <w:start w:val="1"/>
      <w:pStyle w:val="Heading8"/>
      <w:numFmt w:val="lowerLetter"/>
      <w:lvlText w:val="(%8)"/>
      <w:lvlJc w:val="start"/>
      <w:pPr>
        <w:tabs>
          <w:tab w:val="num" w:pos="0"/>
        </w:tabs>
        <w:ind w:start="3600" w:hanging="720"/>
      </w:pPr>
    </w:lvl>
    <w:lvl w:ilvl="8">
      <w:start w:val="1"/>
      <w:pStyle w:val="Heading9"/>
      <w:numFmt w:val="lowerRoman"/>
      <w:lvlText w:val="(%9)"/>
      <w:lvlJc w:val="start"/>
      <w:pPr>
        <w:tabs>
          <w:tab w:val="num" w:pos="0"/>
        </w:tabs>
        <w:ind w:start="3960" w:hanging="72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kern w:val="2"/>
      <w:sz w:val="24"/>
      <w:szCs w:val="20"/>
      <w:lang w:val="en-US" w:eastAsia="zh-CN" w:bidi="hi-IN"/>
    </w:rPr>
  </w:style>
  <w:style w:type="paragraph" w:styleId="Heading1">
    <w:name w:val="heading 1"/>
    <w:basedOn w:val="Normal"/>
    <w:next w:val="BodyText"/>
    <w:qFormat/>
    <w:pPr>
      <w:keepNext w:val="true"/>
      <w:numPr>
        <w:ilvl w:val="0"/>
        <w:numId w:val="1"/>
      </w:numPr>
      <w:spacing w:before="0" w:after="240"/>
      <w:ind w:hanging="0" w:start="0" w:end="720"/>
      <w:outlineLvl w:val="0"/>
    </w:pPr>
    <w:rPr>
      <w:rFonts w:ascii="Times New Roman Bold;Times New Roman" w:hAnsi="Times New Roman Bold;Times New Roman" w:cs="Times New Roman Bold;Times New Roman"/>
      <w:b/>
      <w:kern w:val="2"/>
    </w:rPr>
  </w:style>
  <w:style w:type="paragraph" w:styleId="Heading2">
    <w:name w:val="heading 2"/>
    <w:basedOn w:val="Heading1"/>
    <w:next w:val="BodyText"/>
    <w:qFormat/>
    <w:pPr>
      <w:numPr>
        <w:ilvl w:val="1"/>
        <w:numId w:val="1"/>
      </w:numPr>
      <w:outlineLvl w:val="1"/>
    </w:pPr>
    <w:rPr/>
  </w:style>
  <w:style w:type="paragraph" w:styleId="Heading3">
    <w:name w:val="heading 3"/>
    <w:basedOn w:val="Heading2"/>
    <w:next w:val="BodyText"/>
    <w:qFormat/>
    <w:pPr>
      <w:numPr>
        <w:ilvl w:val="2"/>
        <w:numId w:val="1"/>
      </w:numPr>
      <w:outlineLvl w:val="2"/>
    </w:pPr>
    <w:rPr>
      <w:rFonts w:ascii="Times New Roman" w:hAnsi="Times New Roman" w:cs="Times New Roman"/>
      <w:b w:val="false"/>
    </w:rPr>
  </w:style>
  <w:style w:type="paragraph" w:styleId="Heading4">
    <w:name w:val="heading 4"/>
    <w:basedOn w:val="Heading3"/>
    <w:next w:val="BodyText"/>
    <w:qFormat/>
    <w:pPr>
      <w:keepNext w:val="false"/>
      <w:numPr>
        <w:ilvl w:val="3"/>
        <w:numId w:val="1"/>
      </w:numPr>
      <w:outlineLvl w:val="3"/>
    </w:pPr>
    <w:rPr/>
  </w:style>
  <w:style w:type="paragraph" w:styleId="Heading5">
    <w:name w:val="heading 5"/>
    <w:basedOn w:val="Heading4"/>
    <w:next w:val="BodyText"/>
    <w:qFormat/>
    <w:pPr>
      <w:numPr>
        <w:ilvl w:val="4"/>
        <w:numId w:val="1"/>
      </w:numPr>
      <w:outlineLvl w:val="4"/>
    </w:pPr>
    <w:rPr/>
  </w:style>
  <w:style w:type="paragraph" w:styleId="Heading6">
    <w:name w:val="heading 6"/>
    <w:basedOn w:val="Heading5"/>
    <w:next w:val="BodyText"/>
    <w:qFormat/>
    <w:pPr>
      <w:numPr>
        <w:ilvl w:val="5"/>
        <w:numId w:val="1"/>
      </w:numPr>
      <w:outlineLvl w:val="5"/>
    </w:pPr>
    <w:rPr/>
  </w:style>
  <w:style w:type="paragraph" w:styleId="Heading7">
    <w:name w:val="heading 7"/>
    <w:basedOn w:val="Heading6"/>
    <w:next w:val="BodyText"/>
    <w:qFormat/>
    <w:pPr>
      <w:numPr>
        <w:ilvl w:val="6"/>
        <w:numId w:val="1"/>
      </w:numPr>
      <w:outlineLvl w:val="6"/>
    </w:pPr>
    <w:rPr/>
  </w:style>
  <w:style w:type="paragraph" w:styleId="Heading8">
    <w:name w:val="heading 8"/>
    <w:basedOn w:val="Heading7"/>
    <w:next w:val="BodyText"/>
    <w:qFormat/>
    <w:pPr>
      <w:numPr>
        <w:ilvl w:val="7"/>
        <w:numId w:val="1"/>
      </w:numPr>
      <w:outlineLvl w:val="7"/>
    </w:pPr>
    <w:rPr/>
  </w:style>
  <w:style w:type="paragraph" w:styleId="Heading9">
    <w:name w:val="heading 9"/>
    <w:basedOn w:val="Heading8"/>
    <w:next w:val="BodyText"/>
    <w:qFormat/>
    <w:pPr>
      <w:numPr>
        <w:ilvl w:val="8"/>
        <w:numId w:val="1"/>
      </w:numPr>
      <w:outlineLvl w:val="8"/>
    </w:pPr>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vertAlign w:val="superscript"/>
    </w:rPr>
  </w:style>
  <w:style w:type="character" w:styleId="PageNumber">
    <w:name w:val="page number"/>
    <w:basedOn w:val="DefaultParagraphFont"/>
    <w:rPr>
      <w:rFonts w:ascii="Times New Roman" w:hAnsi="Times New Roman" w:cs="Times New Roman"/>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kern w:val="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rPr>
      <w:kern w:val="2"/>
    </w:rPr>
  </w:style>
  <w:style w:type="paragraph" w:styleId="BodyTextNoIndent">
    <w:name w:val="Body Text No Indent"/>
    <w:basedOn w:val="BodyText"/>
    <w:next w:val="BodyText"/>
    <w:qFormat/>
    <w:pPr>
      <w:ind w:hanging="0" w:start="0" w:end="0"/>
    </w:pPr>
    <w:rPr/>
  </w:style>
  <w:style w:type="paragraph" w:styleId="ccbcc">
    <w:name w:val="cc/bcc"/>
    <w:basedOn w:val="Normal"/>
    <w:qFormat/>
    <w:pPr>
      <w:tabs>
        <w:tab w:val="clear" w:pos="720"/>
        <w:tab w:val="left" w:pos="540" w:leader="none"/>
      </w:tabs>
      <w:spacing w:before="120" w:after="0"/>
      <w:ind w:hanging="547" w:start="547" w:end="0"/>
    </w:pPr>
    <w:rPr>
      <w:kern w:val="2"/>
    </w:rPr>
  </w:style>
  <w:style w:type="paragraph" w:styleId="Centered">
    <w:name w:val="Centered"/>
    <w:basedOn w:val="Normal"/>
    <w:next w:val="BodyText"/>
    <w:qFormat/>
    <w:pPr>
      <w:spacing w:before="0" w:after="240"/>
      <w:jc w:val="center"/>
    </w:pPr>
    <w:rPr>
      <w:kern w:val="2"/>
    </w:rPr>
  </w:style>
  <w:style w:type="paragraph" w:styleId="Date">
    <w:name w:val="Date"/>
    <w:basedOn w:val="Normal"/>
    <w:qFormat/>
    <w:pPr>
      <w:tabs>
        <w:tab w:val="clear" w:pos="720"/>
        <w:tab w:val="left" w:pos="7200" w:leader="none"/>
      </w:tabs>
      <w:spacing w:before="0" w:after="360"/>
      <w:ind w:hanging="0" w:start="0" w:end="335"/>
      <w:jc w:val="center"/>
    </w:pPr>
    <w:rPr>
      <w:kern w:val="2"/>
    </w:rPr>
  </w:style>
  <w:style w:type="paragraph" w:styleId="DirectDial">
    <w:name w:val="DirectDial"/>
    <w:basedOn w:val="Normal"/>
    <w:qFormat/>
    <w:pPr>
      <w:tabs>
        <w:tab w:val="clear" w:pos="720"/>
        <w:tab w:val="center" w:pos="7740" w:leader="none"/>
      </w:tabs>
      <w:ind w:hanging="0" w:start="0" w:end="-288"/>
    </w:pPr>
    <w:rPr>
      <w:rFonts w:ascii="CG Times;Times New Roman" w:hAnsi="CG Times;Times New Roman" w:cs="CG Times;Times New Roman"/>
      <w:kern w:val="2"/>
      <w:sz w:val="20"/>
    </w:rPr>
  </w:style>
  <w:style w:type="paragraph" w:styleId="EnvelopeAddress1">
    <w:name w:val="Envelope Address1"/>
    <w:basedOn w:val="Normal"/>
    <w:qFormat/>
    <w:pPr>
      <w:ind w:hanging="0" w:start="2880" w:end="0"/>
    </w:pPr>
    <w:rPr>
      <w:kern w:val="2"/>
    </w:rPr>
  </w:style>
  <w:style w:type="paragraph" w:styleId="EnvelopeReturn">
    <w:name w:val="envelope return"/>
    <w:basedOn w:val="Normal"/>
    <w:pPr/>
    <w:rPr>
      <w:kern w:val="2"/>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467" w:leader="none"/>
      </w:tabs>
    </w:pPr>
    <w:rPr>
      <w:kern w:val="2"/>
      <w:sz w:val="20"/>
    </w:rPr>
  </w:style>
  <w:style w:type="paragraph" w:styleId="FootnoteText">
    <w:name w:val="footnote text"/>
    <w:basedOn w:val="Normal"/>
    <w:pPr>
      <w:tabs>
        <w:tab w:val="left" w:pos="720" w:leader="none"/>
      </w:tabs>
      <w:spacing w:before="0" w:after="120"/>
    </w:pPr>
    <w:rPr>
      <w:kern w:val="2"/>
      <w:sz w:val="22"/>
    </w:rPr>
  </w:style>
  <w:style w:type="paragraph" w:styleId="Header">
    <w:name w:val="header"/>
    <w:basedOn w:val="Normal"/>
    <w:pPr>
      <w:tabs>
        <w:tab w:val="clear" w:pos="720"/>
        <w:tab w:val="center" w:pos="4320" w:leader="none"/>
        <w:tab w:val="right" w:pos="9360" w:leader="none"/>
      </w:tabs>
    </w:pPr>
    <w:rPr>
      <w:kern w:val="2"/>
    </w:rPr>
  </w:style>
  <w:style w:type="paragraph" w:styleId="HeaderNumbers">
    <w:name w:val="HeaderNumbers"/>
    <w:basedOn w:val="Normal"/>
    <w:qFormat/>
    <w:pPr>
      <w:spacing w:lineRule="exact" w:line="480" w:before="720" w:after="0"/>
      <w:ind w:hanging="0" w:start="0" w:end="144"/>
      <w:jc w:val="end"/>
    </w:pPr>
    <w:rPr>
      <w:kern w:val="2"/>
    </w:rPr>
  </w:style>
  <w:style w:type="paragraph" w:styleId="ReLine">
    <w:name w:val="ReLine"/>
    <w:basedOn w:val="Normal"/>
    <w:next w:val="BodyText"/>
    <w:qFormat/>
    <w:pPr>
      <w:tabs>
        <w:tab w:val="clear" w:pos="720"/>
        <w:tab w:val="left" w:pos="1166" w:leader="none"/>
      </w:tabs>
      <w:spacing w:before="0" w:after="240"/>
      <w:ind w:hanging="446" w:start="1166" w:end="720"/>
    </w:pPr>
    <w:rPr>
      <w:kern w:val="2"/>
    </w:rPr>
  </w:style>
  <w:style w:type="paragraph" w:styleId="HongKongReLine">
    <w:name w:val="HongKongReLine"/>
    <w:basedOn w:val="ReLine"/>
    <w:next w:val="BodyText"/>
    <w:qFormat/>
    <w:pPr>
      <w:tabs>
        <w:tab w:val="clear" w:pos="1166"/>
      </w:tabs>
      <w:ind w:hanging="0" w:start="0" w:end="0"/>
      <w:jc w:val="center"/>
    </w:pPr>
    <w:rPr/>
  </w:style>
  <w:style w:type="paragraph" w:styleId="MacroText">
    <w:name w:val="Macro Text"/>
    <w:qFormat/>
    <w:pPr>
      <w:widowControl/>
      <w:tabs>
        <w:tab w:val="clear" w:pos="720"/>
        <w:tab w:val="left" w:pos="576" w:leader="none"/>
        <w:tab w:val="left" w:pos="965" w:leader="none"/>
        <w:tab w:val="left" w:pos="1440" w:leader="none"/>
        <w:tab w:val="left" w:pos="1915" w:leader="none"/>
        <w:tab w:val="left" w:pos="2405" w:leader="none"/>
        <w:tab w:val="left" w:pos="2880" w:leader="none"/>
        <w:tab w:val="left" w:pos="3355" w:leader="none"/>
        <w:tab w:val="left" w:pos="3845" w:leader="none"/>
        <w:tab w:val="left" w:pos="4320" w:leader="none"/>
      </w:tabs>
      <w:bidi w:val="0"/>
    </w:pPr>
    <w:rPr>
      <w:rFonts w:ascii="Arial" w:hAnsi="Arial" w:eastAsia="Times New Roman" w:cs="Arial"/>
      <w:color w:val="auto"/>
      <w:sz w:val="20"/>
      <w:szCs w:val="20"/>
      <w:lang w:val="en-US" w:eastAsia="zh-CN" w:bidi="hi-IN"/>
    </w:rPr>
  </w:style>
  <w:style w:type="paragraph" w:styleId="NormalIndent">
    <w:name w:val="Normal Indent"/>
    <w:basedOn w:val="Normal"/>
    <w:qFormat/>
    <w:pPr>
      <w:ind w:hanging="0" w:start="720" w:end="720"/>
    </w:pPr>
    <w:rPr/>
  </w:style>
  <w:style w:type="paragraph" w:styleId="Quote">
    <w:name w:val="Quote"/>
    <w:basedOn w:val="Normal"/>
    <w:next w:val="BodyTextNoIndent"/>
    <w:qFormat/>
    <w:pPr>
      <w:spacing w:before="0" w:after="240"/>
      <w:ind w:hanging="0" w:start="720" w:end="720"/>
    </w:pPr>
    <w:rPr/>
  </w:style>
  <w:style w:type="paragraph" w:styleId="Salutation">
    <w:name w:val="Salutation"/>
    <w:basedOn w:val="Normal"/>
    <w:next w:val="BodyText"/>
    <w:qFormat/>
    <w:pPr>
      <w:spacing w:before="0" w:after="240"/>
    </w:pPr>
    <w:rPr/>
  </w:style>
  <w:style w:type="paragraph" w:styleId="SDP">
    <w:name w:val="SDP"/>
    <w:basedOn w:val="Normal"/>
    <w:next w:val="Normal"/>
    <w:qFormat/>
    <w:pPr/>
    <w:rPr/>
  </w:style>
  <w:style w:type="paragraph" w:styleId="SignatureBlock">
    <w:name w:val="Signature Block"/>
    <w:basedOn w:val="Normal"/>
    <w:qFormat/>
    <w:pPr>
      <w:ind w:hanging="0" w:start="432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2001-11-21T11:47:00Z</dcterms:created>
  <dc:creator>Bruce J. Barnard</dc:creator>
  <dc:description/>
  <dc:language>en-CA</dc:language>
  <cp:lastModifiedBy>Bruce J. Barnard</cp:lastModifiedBy>
  <cp:lastPrinted>2001-11-21T12:07:00Z</cp:lastPrinted>
  <dcterms:modified xsi:type="dcterms:W3CDTF">2001-11-21T15:16:00Z</dcterms:modified>
  <cp:revision>1</cp:revision>
  <dc:subject/>
  <dc:title/>
</cp:coreProperties>
</file>