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sz w:val="24"/>
        </w:rPr>
      </w:pPr>
      <w:r>
        <w:rPr>
          <w:b/>
          <w:sz w:val="24"/>
        </w:rPr>
        <w:t>Confidential and Proprietary</w:t>
      </w:r>
    </w:p>
    <w:p>
      <w:pPr>
        <w:pStyle w:val="Normal"/>
        <w:jc w:val="both"/>
        <w:rPr>
          <w:sz w:val="24"/>
        </w:rPr>
      </w:pPr>
      <w:r>
        <w:rPr>
          <w:sz w:val="24"/>
        </w:rPr>
      </w:r>
    </w:p>
    <w:p>
      <w:pPr>
        <w:pStyle w:val="Normal"/>
        <w:jc w:val="both"/>
        <w:rPr>
          <w:sz w:val="24"/>
        </w:rPr>
      </w:pPr>
      <w:r>
        <w:rPr>
          <w:sz w:val="24"/>
        </w:rPr>
      </w:r>
    </w:p>
    <w:p>
      <w:pPr>
        <w:pStyle w:val="Normal"/>
        <w:jc w:val="center"/>
        <w:rPr>
          <w:sz w:val="24"/>
        </w:rPr>
      </w:pPr>
      <w:r>
        <w:rPr>
          <w:sz w:val="24"/>
        </w:rPr>
        <w:t>April __, 2000</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t>AES Enterprise Inc.</w:t>
      </w:r>
    </w:p>
    <w:p>
      <w:pPr>
        <w:pStyle w:val="Normal"/>
        <w:jc w:val="both"/>
        <w:rPr/>
      </w:pPr>
      <w:r>
        <w:rPr>
          <w:sz w:val="24"/>
        </w:rPr>
        <w:t>1001 North 19</w:t>
      </w:r>
      <w:r>
        <w:rPr>
          <w:sz w:val="24"/>
          <w:vertAlign w:val="superscript"/>
        </w:rPr>
        <w:t>th</w:t>
      </w:r>
      <w:r>
        <w:rPr>
          <w:sz w:val="24"/>
        </w:rPr>
        <w:t xml:space="preserve"> Street</w:t>
      </w:r>
    </w:p>
    <w:p>
      <w:pPr>
        <w:pStyle w:val="Normal"/>
        <w:jc w:val="both"/>
        <w:rPr>
          <w:sz w:val="24"/>
        </w:rPr>
      </w:pPr>
      <w:r>
        <w:rPr>
          <w:sz w:val="24"/>
        </w:rPr>
        <w:t>Arlington, Virginia  22209</w:t>
      </w:r>
    </w:p>
    <w:p>
      <w:pPr>
        <w:pStyle w:val="Normal"/>
        <w:jc w:val="both"/>
        <w:rPr>
          <w:sz w:val="24"/>
        </w:rPr>
      </w:pPr>
      <w:r>
        <w:rPr>
          <w:sz w:val="24"/>
        </w:rPr>
      </w:r>
    </w:p>
    <w:p>
      <w:pPr>
        <w:pStyle w:val="Normal"/>
        <w:jc w:val="both"/>
        <w:rPr>
          <w:sz w:val="24"/>
        </w:rPr>
      </w:pPr>
      <w:r>
        <w:rPr>
          <w:sz w:val="24"/>
        </w:rPr>
        <w:t>Attn.:  Paul Burdick, Vice President</w:t>
      </w:r>
    </w:p>
    <w:p>
      <w:pPr>
        <w:pStyle w:val="Normal"/>
        <w:jc w:val="both"/>
        <w:rPr>
          <w:sz w:val="24"/>
        </w:rPr>
      </w:pPr>
      <w:r>
        <w:rPr>
          <w:sz w:val="24"/>
        </w:rPr>
      </w:r>
    </w:p>
    <w:p>
      <w:pPr>
        <w:pStyle w:val="Normal"/>
        <w:jc w:val="both"/>
        <w:rPr>
          <w:sz w:val="24"/>
        </w:rPr>
      </w:pPr>
      <w:r>
        <w:rPr>
          <w:sz w:val="24"/>
        </w:rPr>
        <w:t>Re:</w:t>
        <w:tab/>
        <w:t>Letter of Intent</w:t>
      </w:r>
    </w:p>
    <w:p>
      <w:pPr>
        <w:pStyle w:val="Normal"/>
        <w:jc w:val="both"/>
        <w:rPr>
          <w:sz w:val="24"/>
        </w:rPr>
      </w:pPr>
      <w:r>
        <w:rPr>
          <w:sz w:val="24"/>
        </w:rPr>
      </w:r>
    </w:p>
    <w:p>
      <w:pPr>
        <w:pStyle w:val="Normal"/>
        <w:jc w:val="both"/>
        <w:rPr>
          <w:sz w:val="24"/>
        </w:rPr>
      </w:pPr>
      <w:r>
        <w:rPr>
          <w:sz w:val="24"/>
        </w:rPr>
        <w:t>Ladies and Gentlemen:</w:t>
      </w:r>
    </w:p>
    <w:p>
      <w:pPr>
        <w:pStyle w:val="Normal"/>
        <w:jc w:val="both"/>
        <w:rPr>
          <w:sz w:val="24"/>
        </w:rPr>
      </w:pPr>
      <w:r>
        <w:rPr>
          <w:sz w:val="24"/>
        </w:rPr>
      </w:r>
    </w:p>
    <w:p>
      <w:pPr>
        <w:pStyle w:val="BodyText2"/>
        <w:rPr>
          <w:sz w:val="24"/>
        </w:rPr>
      </w:pPr>
      <w:r>
        <w:rPr>
          <w:sz w:val="24"/>
        </w:rPr>
        <w:t>This letter of intent (“Agreement”), effective when executed by all the parties hereto, will evidence the current mutual intent, as set forth in Article I below, of AES Enterprise, Inc., a Delaware corporation (“AES”) and Enron North America Corp., a Delaware corporation (“ENA”), to evaluate ENA’s and AES’s possible collaboration on structuring and negotiating the terms of the purchase of all of the membership interests in Calvert City Power I, L.L.C. (“Calvert”) by AES from ENA (the “Proposed Transaction”).  AES and ENA are sometimes referred to individually as a “Party” and collectively as the “Parties.”</w:t>
      </w:r>
    </w:p>
    <w:p>
      <w:pPr>
        <w:pStyle w:val="Normal"/>
        <w:jc w:val="both"/>
        <w:rPr>
          <w:sz w:val="24"/>
        </w:rPr>
      </w:pPr>
      <w:r>
        <w:rPr>
          <w:sz w:val="24"/>
        </w:rPr>
      </w:r>
    </w:p>
    <w:p>
      <w:pPr>
        <w:pStyle w:val="Normal"/>
        <w:jc w:val="both"/>
        <w:rPr>
          <w:sz w:val="24"/>
        </w:rPr>
      </w:pPr>
      <w:r>
        <w:rPr>
          <w:sz w:val="24"/>
        </w:rPr>
        <w:t>This Agreement is intended to set forth certain basic terms of the understanding reached to date and to serve as a basis for further discussions and negotiations among the Parties with respect to the Proposed Transaction.  The matters set forth in Article I are not intended to and do not constitute a binding agreement of the Parties with respect to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board of directors of each Party.  The matters set forth in Article II do constitute binding agreements of the Parties.</w:t>
      </w:r>
    </w:p>
    <w:p>
      <w:pPr>
        <w:pStyle w:val="Normal"/>
        <w:jc w:val="both"/>
        <w:rPr>
          <w:sz w:val="24"/>
        </w:rPr>
      </w:pPr>
      <w:r>
        <w:rPr>
          <w:sz w:val="24"/>
        </w:rPr>
      </w:r>
    </w:p>
    <w:p>
      <w:pPr>
        <w:pStyle w:val="Normal"/>
        <w:jc w:val="both"/>
        <w:rPr>
          <w:sz w:val="24"/>
        </w:rPr>
      </w:pPr>
      <w:r>
        <w:rPr>
          <w:sz w:val="24"/>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4"/>
        </w:rPr>
      </w:pPr>
      <w:r>
        <w:rPr>
          <w:b/>
          <w:sz w:val="24"/>
        </w:rPr>
      </w:r>
    </w:p>
    <w:p>
      <w:pPr>
        <w:pStyle w:val="Normal"/>
        <w:jc w:val="center"/>
        <w:rPr>
          <w:b/>
          <w:sz w:val="24"/>
        </w:rPr>
      </w:pPr>
      <w:r>
        <w:rPr>
          <w:b/>
          <w:sz w:val="24"/>
        </w:rPr>
      </w:r>
    </w:p>
    <w:p>
      <w:pPr>
        <w:pStyle w:val="Normal"/>
        <w:keepNext w:val="true"/>
        <w:keepLines/>
        <w:jc w:val="center"/>
        <w:rPr>
          <w:b/>
          <w:sz w:val="24"/>
        </w:rPr>
      </w:pPr>
      <w:r>
        <w:rPr>
          <w:b/>
          <w:sz w:val="24"/>
        </w:rPr>
        <w:t>Article I</w:t>
      </w:r>
    </w:p>
    <w:p>
      <w:pPr>
        <w:pStyle w:val="Normal"/>
        <w:keepNext w:val="true"/>
        <w:keepLines/>
        <w:jc w:val="center"/>
        <w:rPr>
          <w:sz w:val="24"/>
        </w:rPr>
      </w:pPr>
      <w:r>
        <w:rPr>
          <w:b/>
          <w:sz w:val="24"/>
        </w:rPr>
        <w:t>The Proposed Transaction</w:t>
      </w:r>
    </w:p>
    <w:p>
      <w:pPr>
        <w:pStyle w:val="Normal"/>
        <w:keepNext w:val="true"/>
        <w:keepLines/>
        <w:jc w:val="both"/>
        <w:rPr>
          <w:sz w:val="24"/>
        </w:rPr>
      </w:pPr>
      <w:r>
        <w:rPr>
          <w:sz w:val="24"/>
        </w:rPr>
      </w:r>
    </w:p>
    <w:p>
      <w:pPr>
        <w:pStyle w:val="Normal"/>
        <w:numPr>
          <w:ilvl w:val="0"/>
          <w:numId w:val="3"/>
        </w:numPr>
        <w:tabs>
          <w:tab w:val="clear" w:pos="720"/>
          <w:tab w:val="left" w:pos="1440" w:leader="none"/>
        </w:tabs>
        <w:ind w:firstLine="720" w:start="0" w:end="0"/>
        <w:jc w:val="both"/>
        <w:rPr>
          <w:sz w:val="24"/>
        </w:rPr>
      </w:pPr>
      <w:r>
        <w:rPr>
          <w:sz w:val="24"/>
        </w:rPr>
        <w:tab/>
        <w:t xml:space="preserve">The Parties will meet to discuss the Proposed Transaction and the necessary agreements relating thereto.  It is understood that ENA and AES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4"/>
        </w:rPr>
      </w:pPr>
      <w:r>
        <w:rPr>
          <w:sz w:val="24"/>
        </w:rPr>
      </w:r>
    </w:p>
    <w:p>
      <w:pPr>
        <w:pStyle w:val="Normal"/>
        <w:tabs>
          <w:tab w:val="clear" w:pos="720"/>
          <w:tab w:val="left" w:pos="1440" w:leader="none"/>
        </w:tabs>
        <w:ind w:firstLine="720" w:end="0"/>
        <w:jc w:val="both"/>
        <w:rPr>
          <w:sz w:val="24"/>
        </w:rPr>
      </w:pPr>
      <w:r>
        <w:rPr>
          <w:sz w:val="24"/>
        </w:rPr>
        <w:t>2.</w:t>
        <w:tab/>
        <w:t>Neither Party is obligated hereunder to enter into any definitive agreement with the other, with respect to the Proposed Transaction.</w:t>
      </w:r>
    </w:p>
    <w:p>
      <w:pPr>
        <w:pStyle w:val="Normal"/>
        <w:tabs>
          <w:tab w:val="clear" w:pos="720"/>
          <w:tab w:val="left" w:pos="1440" w:leader="none"/>
        </w:tabs>
        <w:ind w:firstLine="720" w:end="0"/>
        <w:jc w:val="both"/>
        <w:rPr>
          <w:b/>
          <w:sz w:val="24"/>
        </w:rPr>
      </w:pPr>
      <w:r>
        <w:rPr>
          <w:b/>
          <w:sz w:val="24"/>
        </w:rPr>
      </w:r>
    </w:p>
    <w:p>
      <w:pPr>
        <w:pStyle w:val="Normal"/>
        <w:tabs>
          <w:tab w:val="clear" w:pos="720"/>
          <w:tab w:val="left" w:pos="1440" w:leader="none"/>
        </w:tabs>
        <w:ind w:firstLine="720" w:end="0"/>
        <w:jc w:val="both"/>
        <w:rPr>
          <w:sz w:val="24"/>
        </w:rPr>
      </w:pPr>
      <w:r>
        <w:rPr>
          <w:sz w:val="24"/>
        </w:rPr>
        <w:t>3.</w:t>
        <w:tab/>
        <w:t>By May 15, 2000, the Parties shall use commercially reasonable efforts to negotiate and execute a definitive agreement.  It is currently anticipated that such definitive agreement will include, without limitation, the basic business points identified in Exhibit “A” attached hereto.</w:t>
      </w:r>
    </w:p>
    <w:p>
      <w:pPr>
        <w:pStyle w:val="Normal"/>
        <w:jc w:val="both"/>
        <w:rPr>
          <w:sz w:val="24"/>
        </w:rPr>
      </w:pPr>
      <w:r>
        <w:rPr>
          <w:sz w:val="24"/>
        </w:rPr>
      </w:r>
    </w:p>
    <w:p>
      <w:pPr>
        <w:pStyle w:val="Normal"/>
        <w:jc w:val="both"/>
        <w:rPr>
          <w:b/>
          <w:sz w:val="24"/>
        </w:rPr>
      </w:pPr>
      <w:r>
        <w:rPr>
          <w:b/>
          <w:sz w:val="24"/>
        </w:rPr>
      </w:r>
    </w:p>
    <w:p>
      <w:pPr>
        <w:pStyle w:val="Normal"/>
        <w:jc w:val="center"/>
        <w:rPr>
          <w:b/>
          <w:sz w:val="24"/>
        </w:rPr>
      </w:pPr>
      <w:r>
        <w:rPr>
          <w:b/>
          <w:sz w:val="24"/>
        </w:rPr>
        <w:t>Article II</w:t>
      </w:r>
    </w:p>
    <w:p>
      <w:pPr>
        <w:pStyle w:val="Normal"/>
        <w:jc w:val="center"/>
        <w:rPr>
          <w:b/>
          <w:sz w:val="24"/>
        </w:rPr>
      </w:pPr>
      <w:r>
        <w:rPr>
          <w:b/>
          <w:sz w:val="24"/>
        </w:rPr>
        <w:t>Binding Agreements</w:t>
      </w:r>
    </w:p>
    <w:p>
      <w:pPr>
        <w:pStyle w:val="Normal"/>
        <w:jc w:val="both"/>
        <w:rPr>
          <w:b/>
          <w:sz w:val="24"/>
        </w:rPr>
      </w:pPr>
      <w:r>
        <w:rPr>
          <w:b/>
          <w:sz w:val="24"/>
        </w:rPr>
      </w:r>
    </w:p>
    <w:p>
      <w:pPr>
        <w:pStyle w:val="Normal"/>
        <w:ind w:firstLine="720" w:end="0"/>
        <w:jc w:val="both"/>
        <w:rPr>
          <w:b/>
          <w:sz w:val="24"/>
        </w:rPr>
      </w:pPr>
      <w:r>
        <w:rPr>
          <w:sz w:val="24"/>
        </w:rPr>
        <w:t>1.</w:t>
        <w:tab/>
      </w:r>
      <w:r>
        <w:rPr>
          <w:b/>
          <w:sz w:val="24"/>
        </w:rPr>
        <w:t xml:space="preserve">Term.  </w:t>
      </w:r>
      <w:r>
        <w:rPr>
          <w:sz w:val="24"/>
        </w:rPr>
        <w:t>This Agreement shall be in force and effect from the date hereof until the earliest to occur of the following events:  (i) such time that it becomes clear to either Party that the Proposed Transaction will not be economically viable or otherwise successful; or (ii) May 15,</w:t>
      </w:r>
      <w:r>
        <w:rPr>
          <w:i/>
          <w:sz w:val="24"/>
        </w:rPr>
        <w:t xml:space="preserve"> </w:t>
      </w:r>
      <w:r>
        <w:rPr>
          <w:sz w:val="24"/>
        </w:rPr>
        <w:t>2000 (the “Term”).  The provisions of Section 2, Confidentiality, shall survive any termination of this Agreement, as necessary for them to expire according to their terms as expressed in that section.</w:t>
      </w:r>
    </w:p>
    <w:p>
      <w:pPr>
        <w:pStyle w:val="Normal"/>
        <w:jc w:val="both"/>
        <w:rPr>
          <w:b/>
          <w:sz w:val="24"/>
        </w:rPr>
      </w:pPr>
      <w:r>
        <w:rPr>
          <w:b/>
          <w:sz w:val="24"/>
        </w:rPr>
      </w:r>
    </w:p>
    <w:p>
      <w:pPr>
        <w:pStyle w:val="Normal"/>
        <w:ind w:firstLine="720" w:end="0"/>
        <w:jc w:val="both"/>
        <w:rPr/>
      </w:pPr>
      <w:r>
        <w:rPr>
          <w:sz w:val="24"/>
        </w:rPr>
        <w:t>2.</w:t>
      </w:r>
      <w:r>
        <w:rPr>
          <w:b/>
          <w:sz w:val="24"/>
        </w:rPr>
        <w:tab/>
        <w:t xml:space="preserve">Confidentiality.  </w:t>
      </w:r>
      <w:r>
        <w:rPr>
          <w:sz w:val="24"/>
        </w:rPr>
        <w:t>(a)</w:t>
      </w:r>
      <w:r>
        <w:rPr>
          <w:b/>
          <w:sz w:val="24"/>
        </w:rPr>
        <w:t xml:space="preserve">  </w:t>
      </w:r>
      <w:r>
        <w:rPr>
          <w:sz w:val="24"/>
        </w:rPr>
        <w:t>For a period ending one (1)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w:t>
      </w:r>
    </w:p>
    <w:p>
      <w:pPr>
        <w:pStyle w:val="Normal"/>
        <w:ind w:firstLine="720" w:end="0"/>
        <w:jc w:val="both"/>
        <w:rPr>
          <w:sz w:val="24"/>
        </w:rPr>
      </w:pPr>
      <w:r>
        <w:rPr>
          <w:sz w:val="24"/>
        </w:rPr>
      </w:r>
    </w:p>
    <w:p>
      <w:pPr>
        <w:pStyle w:val="Normal"/>
        <w:ind w:firstLine="720" w:end="0"/>
        <w:jc w:val="both"/>
        <w:rPr>
          <w:b/>
          <w:sz w:val="24"/>
        </w:rPr>
      </w:pPr>
      <w:r>
        <w:rPr>
          <w:sz w:val="24"/>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4"/>
        </w:rPr>
      </w:pPr>
      <w:r>
        <w:rPr>
          <w:b/>
          <w:sz w:val="24"/>
        </w:rPr>
      </w:r>
    </w:p>
    <w:p>
      <w:pPr>
        <w:pStyle w:val="Normal"/>
        <w:ind w:firstLine="720" w:end="0"/>
        <w:jc w:val="both"/>
        <w:rPr>
          <w:sz w:val="24"/>
        </w:rPr>
      </w:pPr>
      <w:r>
        <w:rPr>
          <w:sz w:val="24"/>
        </w:rPr>
        <w:t>(c)  Confidential information shall be identified in writing as such by the Party claiming confidentiality, and shall include the existence of this Agreement, its contents, and negotiations under this Agreement.</w:t>
      </w:r>
    </w:p>
    <w:p>
      <w:pPr>
        <w:pStyle w:val="Normal"/>
        <w:jc w:val="both"/>
        <w:rPr>
          <w:sz w:val="24"/>
        </w:rPr>
      </w:pPr>
      <w:r>
        <w:rPr>
          <w:sz w:val="24"/>
        </w:rPr>
      </w:r>
    </w:p>
    <w:p>
      <w:pPr>
        <w:pStyle w:val="Normal"/>
        <w:ind w:firstLine="720" w:end="0"/>
        <w:jc w:val="both"/>
        <w:rPr/>
      </w:pPr>
      <w:r>
        <w:rPr>
          <w:sz w:val="24"/>
        </w:rPr>
        <w:t>3.</w:t>
      </w:r>
      <w:r>
        <w:rPr>
          <w:b/>
          <w:sz w:val="24"/>
        </w:rPr>
        <w:tab/>
        <w:t xml:space="preserve">Representations and Warranties.  </w:t>
      </w:r>
      <w:r>
        <w:rPr>
          <w:sz w:val="24"/>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4"/>
        </w:rPr>
      </w:pPr>
      <w:r>
        <w:rPr>
          <w:sz w:val="24"/>
        </w:rPr>
      </w:r>
    </w:p>
    <w:p>
      <w:pPr>
        <w:pStyle w:val="Normal"/>
        <w:ind w:firstLine="720" w:end="0"/>
        <w:jc w:val="both"/>
        <w:rPr/>
      </w:pPr>
      <w:r>
        <w:rPr>
          <w:sz w:val="24"/>
        </w:rPr>
        <w:t>4.</w:t>
      </w:r>
      <w:r>
        <w:rPr>
          <w:b/>
          <w:sz w:val="24"/>
        </w:rPr>
        <w:tab/>
        <w:t xml:space="preserve">Expenses.  </w:t>
      </w:r>
      <w:r>
        <w:rPr>
          <w:sz w:val="24"/>
        </w:rPr>
        <w:t>Each Party shall bear its own costs associated with negotiating and performing under this Agreement.</w:t>
      </w:r>
    </w:p>
    <w:p>
      <w:pPr>
        <w:pStyle w:val="Normal"/>
        <w:jc w:val="both"/>
        <w:rPr>
          <w:b/>
          <w:sz w:val="24"/>
        </w:rPr>
      </w:pPr>
      <w:r>
        <w:rPr>
          <w:b/>
          <w:sz w:val="24"/>
        </w:rPr>
      </w:r>
    </w:p>
    <w:p>
      <w:pPr>
        <w:pStyle w:val="Normal"/>
        <w:ind w:firstLine="720" w:end="0"/>
        <w:jc w:val="both"/>
        <w:rPr/>
      </w:pPr>
      <w:r>
        <w:rPr>
          <w:sz w:val="24"/>
        </w:rPr>
        <w:t>5.</w:t>
      </w:r>
      <w:r>
        <w:rPr>
          <w:b/>
          <w:sz w:val="24"/>
        </w:rPr>
        <w:tab/>
        <w:t xml:space="preserve">Approval.  </w:t>
      </w:r>
      <w:r>
        <w:rPr>
          <w:sz w:val="24"/>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jc w:val="both"/>
        <w:rPr>
          <w:b/>
          <w:sz w:val="24"/>
        </w:rPr>
      </w:pPr>
      <w:r>
        <w:rPr>
          <w:b/>
          <w:sz w:val="24"/>
        </w:rPr>
      </w:r>
    </w:p>
    <w:p>
      <w:pPr>
        <w:pStyle w:val="Normal"/>
        <w:ind w:firstLine="720" w:end="0"/>
        <w:jc w:val="both"/>
        <w:rPr/>
      </w:pPr>
      <w:r>
        <w:rPr>
          <w:sz w:val="24"/>
        </w:rPr>
        <w:t>6.</w:t>
      </w:r>
      <w:r>
        <w:rPr>
          <w:b/>
          <w:sz w:val="24"/>
        </w:rPr>
        <w:tab/>
        <w:t xml:space="preserve">Entire Agreement.  </w:t>
      </w:r>
      <w:r>
        <w:rPr>
          <w:sz w:val="24"/>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5 and 8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4"/>
        </w:rPr>
      </w:pPr>
      <w:r>
        <w:rPr>
          <w:sz w:val="24"/>
        </w:rPr>
      </w:r>
    </w:p>
    <w:p>
      <w:pPr>
        <w:pStyle w:val="Normal"/>
        <w:ind w:firstLine="720" w:end="0"/>
        <w:jc w:val="both"/>
        <w:rPr/>
      </w:pPr>
      <w:r>
        <w:rPr>
          <w:sz w:val="24"/>
        </w:rPr>
        <w:t>7.</w:t>
      </w:r>
      <w:r>
        <w:rPr>
          <w:b/>
          <w:sz w:val="24"/>
        </w:rPr>
        <w:tab/>
        <w:t>Governing Law.</w:t>
      </w:r>
      <w:r>
        <w:rPr>
          <w:sz w:val="24"/>
        </w:rPr>
        <w:t xml:space="preserve">  THIS AGREEMENT SHALL BE GOVERNED BY AND CONSTRUED IN ACCORDANCE WITH THE LAWS OF THE STATE OF TEXAS, WITHOUT GIVING EFFECT TO CONFLICT OF LAWS PRINCIPLES.</w:t>
      </w:r>
    </w:p>
    <w:p>
      <w:pPr>
        <w:pStyle w:val="Normal"/>
        <w:jc w:val="both"/>
        <w:rPr>
          <w:sz w:val="24"/>
        </w:rPr>
      </w:pPr>
      <w:r>
        <w:rPr>
          <w:sz w:val="24"/>
        </w:rPr>
      </w:r>
    </w:p>
    <w:p>
      <w:pPr>
        <w:pStyle w:val="Normal"/>
        <w:ind w:firstLine="720" w:end="0"/>
        <w:jc w:val="both"/>
        <w:rPr>
          <w:sz w:val="24"/>
        </w:rPr>
      </w:pPr>
      <w:r>
        <w:rPr>
          <w:sz w:val="24"/>
        </w:rPr>
        <w:t>8.</w:t>
      </w:r>
      <w:r>
        <w:rPr>
          <w:b/>
          <w:sz w:val="24"/>
        </w:rPr>
        <w:tab/>
        <w:t>NON-INCLUSIVE; NON-BINDING.  THIS AGREEMENT DOES NOT CONTAIN ALL MATTERS UPON WHICH AGREEMENT MUST BE REACHED IN ORDER FOR THE PROPOSED TRANSACTION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 MATTER OF THE PROPOSED TRANSACTION; AND (3) MAY NOT BE RELIED UPON BY A PARTY AS THE BASIS FOR A CONTRACT BY ESTOPPEL OR OTHERWISE.  A BINDING COMMITMENT WITH RESPECT TO THE PROPOSED TRANSACTION CAN ONLY RESULT FROM THE EXECUTION AND DELIVERY OF DEFINITIVE AGREEMENTS.  THE PARTIES AGREE THAT THEY HAVE HAD THE BENEFIT OF COUNSEL IN PREPARING THIS AGREEMENT, AND THEY FURTHER AGREE THAT NO ACTIONS ON THE PART OF EITHER PARTY SHALL BE DEEMED TO RENDER THIS AGREEMENT A BINDING OBLIGATION WITH RESPECT TO THE PROVISIONS CONTAINED IN ARTICLE I AND THE SUBJECT MATTER OF THE PROPOSED TRANSACTION.</w:t>
      </w:r>
    </w:p>
    <w:p>
      <w:pPr>
        <w:pStyle w:val="Normal"/>
        <w:jc w:val="both"/>
        <w:rPr>
          <w:sz w:val="24"/>
        </w:rPr>
      </w:pPr>
      <w:r>
        <w:rPr>
          <w:sz w:val="24"/>
        </w:rPr>
      </w:r>
    </w:p>
    <w:p>
      <w:pPr>
        <w:pStyle w:val="Normal"/>
        <w:ind w:firstLine="720" w:end="0"/>
        <w:jc w:val="both"/>
        <w:rPr/>
      </w:pPr>
      <w:r>
        <w:rPr>
          <w:sz w:val="24"/>
        </w:rPr>
        <w:t>9.</w:t>
      </w:r>
      <w:r>
        <w:rPr>
          <w:b/>
          <w:sz w:val="24"/>
        </w:rPr>
        <w:tab/>
        <w:t>Relationship of the Parties.</w:t>
      </w:r>
      <w:r>
        <w:rPr>
          <w:sz w:val="24"/>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4"/>
        </w:rPr>
      </w:pPr>
      <w:r>
        <w:rPr>
          <w:sz w:val="24"/>
        </w:rPr>
      </w:r>
    </w:p>
    <w:p>
      <w:pPr>
        <w:pStyle w:val="Normal"/>
        <w:ind w:firstLine="720" w:end="0"/>
        <w:jc w:val="both"/>
        <w:rPr/>
      </w:pPr>
      <w:r>
        <w:rPr>
          <w:sz w:val="24"/>
        </w:rPr>
        <w:t>10.</w:t>
      </w:r>
      <w:r>
        <w:rPr>
          <w:b/>
          <w:sz w:val="24"/>
        </w:rPr>
        <w:tab/>
        <w:t>Binding Arbitration.</w:t>
      </w:r>
      <w:r>
        <w:rPr>
          <w:sz w:val="24"/>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4"/>
        </w:rPr>
      </w:pPr>
      <w:r>
        <w:rPr>
          <w:sz w:val="24"/>
        </w:rPr>
      </w:r>
    </w:p>
    <w:p>
      <w:pPr>
        <w:pStyle w:val="Normal"/>
        <w:numPr>
          <w:ilvl w:val="0"/>
          <w:numId w:val="1"/>
        </w:numPr>
        <w:tabs>
          <w:tab w:val="clear" w:pos="720"/>
          <w:tab w:val="left" w:pos="0" w:leader="none"/>
        </w:tabs>
        <w:ind w:firstLine="720" w:start="0" w:end="0"/>
        <w:jc w:val="both"/>
        <w:rPr>
          <w:b/>
          <w:sz w:val="24"/>
        </w:rPr>
      </w:pPr>
      <w:r>
        <w:rPr>
          <w:b/>
          <w:sz w:val="24"/>
        </w:rPr>
        <w:t>LIMITATION OF LIABILITY.  NOTWITHSTANDING ANYTHING HEREIN TO THE CONTRARY, NEITHER ENA NOR AES,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jc w:val="both"/>
        <w:rPr>
          <w:b/>
          <w:sz w:val="24"/>
        </w:rPr>
      </w:pPr>
      <w:r>
        <w:rPr>
          <w:b/>
          <w:sz w:val="24"/>
        </w:rPr>
      </w:r>
    </w:p>
    <w:p>
      <w:pPr>
        <w:pStyle w:val="Normal"/>
        <w:jc w:val="both"/>
        <w:rPr>
          <w:b/>
          <w:sz w:val="24"/>
        </w:rPr>
      </w:pPr>
      <w:r>
        <w:rPr>
          <w:b/>
          <w:sz w:val="24"/>
        </w:rPr>
      </w:r>
    </w:p>
    <w:p>
      <w:pPr>
        <w:pStyle w:val="Normal"/>
        <w:ind w:firstLine="720" w:end="0"/>
        <w:jc w:val="both"/>
        <w:rPr>
          <w:sz w:val="24"/>
        </w:rPr>
      </w:pPr>
      <w:r>
        <w:rPr>
          <w:sz w:val="24"/>
        </w:rPr>
      </w:r>
    </w:p>
    <w:p>
      <w:pPr>
        <w:pStyle w:val="Normal"/>
        <w:ind w:firstLine="720" w:end="0"/>
        <w:jc w:val="both"/>
        <w:rPr/>
      </w:pPr>
      <w:r>
        <w:rPr>
          <w:sz w:val="24"/>
        </w:rPr>
        <w:t>12.</w:t>
        <w:tab/>
      </w:r>
      <w:r>
        <w:rPr>
          <w:b/>
          <w:sz w:val="24"/>
        </w:rPr>
        <w:t>Assignment.</w:t>
      </w:r>
      <w:r>
        <w:rPr>
          <w:sz w:val="24"/>
        </w:rPr>
        <w:t xml:space="preserve">  Neither Party may assign this Agreement without the prior written approval of the other Party, which approval shall not be unreasonably withheld, conditioned or delayed.  Notwithstanding the foregoing, however, ENA may assign its obligations hereunder to any of its affiliates.  </w:t>
      </w:r>
    </w:p>
    <w:p>
      <w:pPr>
        <w:pStyle w:val="Normal"/>
        <w:ind w:firstLine="720" w:end="0"/>
        <w:jc w:val="both"/>
        <w:rPr>
          <w:sz w:val="24"/>
        </w:rPr>
      </w:pPr>
      <w:r>
        <w:rPr>
          <w:sz w:val="24"/>
        </w:rPr>
      </w:r>
    </w:p>
    <w:p>
      <w:pPr>
        <w:pStyle w:val="Normal"/>
        <w:jc w:val="both"/>
        <w:rPr>
          <w:sz w:val="24"/>
        </w:rPr>
      </w:pPr>
      <w:r>
        <w:rPr>
          <w:sz w:val="24"/>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the other original to the undersigned.  This Agreement may be executed in counterparts, and all such counterparts together shall constitute but one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Very truly yours,</w:t>
      </w:r>
    </w:p>
    <w:p>
      <w:pPr>
        <w:pStyle w:val="Normal"/>
        <w:jc w:val="both"/>
        <w:rPr>
          <w:sz w:val="24"/>
        </w:rPr>
      </w:pPr>
      <w:r>
        <w:rPr>
          <w:sz w:val="24"/>
        </w:rPr>
      </w:r>
    </w:p>
    <w:p>
      <w:pPr>
        <w:pStyle w:val="Normal"/>
        <w:jc w:val="both"/>
        <w:rPr>
          <w:b/>
          <w:sz w:val="24"/>
          <w:u w:val="single"/>
        </w:rPr>
      </w:pPr>
      <w:r>
        <w:rPr>
          <w:b/>
          <w:sz w:val="24"/>
        </w:rPr>
        <w:t>ENRON NORTH AMERICA CORP.</w:t>
      </w:r>
    </w:p>
    <w:p>
      <w:pPr>
        <w:pStyle w:val="Normal"/>
        <w:jc w:val="both"/>
        <w:rPr>
          <w:b/>
          <w:sz w:val="24"/>
          <w:u w:val="single"/>
        </w:rPr>
      </w:pPr>
      <w:r>
        <w:rPr>
          <w:b/>
          <w:sz w:val="24"/>
          <w:u w:val="single"/>
        </w:rPr>
      </w:r>
    </w:p>
    <w:p>
      <w:pPr>
        <w:pStyle w:val="Normal"/>
        <w:jc w:val="both"/>
        <w:rPr>
          <w:sz w:val="24"/>
        </w:rPr>
      </w:pPr>
      <w:r>
        <w:rPr>
          <w:sz w:val="24"/>
        </w:rPr>
        <w:t>By:</w:t>
      </w:r>
      <w:r>
        <w:rPr>
          <w:sz w:val="24"/>
          <w:u w:val="single"/>
        </w:rPr>
        <w:tab/>
        <w:tab/>
        <w:tab/>
        <w:tab/>
        <w:tab/>
        <w:tab/>
      </w:r>
    </w:p>
    <w:p>
      <w:pPr>
        <w:pStyle w:val="Normal"/>
        <w:jc w:val="both"/>
        <w:rPr>
          <w:sz w:val="24"/>
        </w:rPr>
      </w:pPr>
      <w:r>
        <w:rPr>
          <w:sz w:val="24"/>
        </w:rPr>
        <w:t>Printed Name:</w:t>
      </w:r>
      <w:r>
        <w:rPr>
          <w:sz w:val="24"/>
          <w:u w:val="single"/>
        </w:rPr>
        <w:tab/>
        <w:tab/>
        <w:tab/>
        <w:tab/>
        <w:tab/>
      </w:r>
    </w:p>
    <w:p>
      <w:pPr>
        <w:pStyle w:val="Normal"/>
        <w:jc w:val="both"/>
        <w:rPr>
          <w:sz w:val="24"/>
        </w:rPr>
      </w:pPr>
      <w:r>
        <w:rPr>
          <w:sz w:val="24"/>
        </w:rPr>
        <w:t>Title:</w:t>
      </w:r>
      <w:r>
        <w:rPr>
          <w:sz w:val="24"/>
          <w:u w:val="single"/>
        </w:rPr>
        <w:tab/>
        <w:tab/>
        <w:tab/>
        <w:tab/>
        <w:tab/>
        <w:tab/>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Acknowledged, Agreed to and Accepted,</w:t>
      </w:r>
    </w:p>
    <w:p>
      <w:pPr>
        <w:pStyle w:val="Normal"/>
        <w:keepNext w:val="true"/>
        <w:keepLines/>
        <w:jc w:val="both"/>
        <w:rPr>
          <w:b/>
          <w:sz w:val="24"/>
        </w:rPr>
      </w:pPr>
      <w:r>
        <w:rPr>
          <w:b/>
          <w:sz w:val="24"/>
        </w:rPr>
        <w:t>this ____ day of __________, 2000:</w:t>
      </w:r>
    </w:p>
    <w:p>
      <w:pPr>
        <w:pStyle w:val="Normal"/>
        <w:keepNext w:val="true"/>
        <w:keepLines/>
        <w:jc w:val="both"/>
        <w:rPr>
          <w:b/>
          <w:sz w:val="24"/>
        </w:rPr>
      </w:pPr>
      <w:r>
        <w:rPr>
          <w:b/>
          <w:sz w:val="24"/>
        </w:rPr>
      </w:r>
    </w:p>
    <w:p>
      <w:pPr>
        <w:pStyle w:val="Normal"/>
        <w:keepNext w:val="true"/>
        <w:keepLines/>
        <w:jc w:val="both"/>
        <w:rPr>
          <w:b/>
          <w:sz w:val="24"/>
        </w:rPr>
      </w:pPr>
      <w:r>
        <w:rPr>
          <w:b/>
          <w:sz w:val="24"/>
        </w:rPr>
        <w:t>AES ENTERPRISE INC.</w:t>
      </w:r>
    </w:p>
    <w:p>
      <w:pPr>
        <w:pStyle w:val="Normal"/>
        <w:keepNext w:val="true"/>
        <w:keepLines/>
        <w:jc w:val="both"/>
        <w:rPr>
          <w:b/>
          <w:sz w:val="24"/>
        </w:rPr>
      </w:pPr>
      <w:r>
        <w:rPr>
          <w:b/>
          <w:sz w:val="24"/>
        </w:rPr>
      </w:r>
    </w:p>
    <w:p>
      <w:pPr>
        <w:pStyle w:val="Normal"/>
        <w:keepNext w:val="true"/>
        <w:keepLines/>
        <w:jc w:val="both"/>
        <w:rPr>
          <w:sz w:val="24"/>
        </w:rPr>
      </w:pPr>
      <w:r>
        <w:rPr>
          <w:sz w:val="24"/>
        </w:rPr>
        <w:t>By:</w:t>
      </w:r>
      <w:r>
        <w:rPr>
          <w:sz w:val="24"/>
          <w:u w:val="single"/>
        </w:rPr>
        <w:tab/>
        <w:tab/>
        <w:tab/>
        <w:tab/>
        <w:tab/>
        <w:tab/>
      </w:r>
    </w:p>
    <w:p>
      <w:pPr>
        <w:pStyle w:val="Normal"/>
        <w:keepNext w:val="true"/>
        <w:keepLines/>
        <w:jc w:val="both"/>
        <w:rPr/>
      </w:pPr>
      <w:r>
        <w:rPr>
          <w:sz w:val="24"/>
        </w:rPr>
        <w:t>Printed Name:</w:t>
      </w:r>
      <w:r>
        <w:rPr>
          <w:sz w:val="24"/>
          <w:u w:val="single"/>
        </w:rPr>
        <w:tab/>
        <w:tab/>
        <w:tab/>
        <w:tab/>
        <w:tab/>
      </w:r>
    </w:p>
    <w:p>
      <w:pPr>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pStyle w:val="Normal"/>
        <w:keepNext w:val="true"/>
        <w:keepLines/>
        <w:jc w:val="both"/>
        <w:rPr/>
      </w:pPr>
      <w:r>
        <w:rPr>
          <w:sz w:val="24"/>
        </w:rPr>
        <w:t>Title:</w:t>
      </w:r>
      <w:r>
        <w:rPr>
          <w:sz w:val="24"/>
          <w:u w:val="single"/>
        </w:rPr>
        <w:tab/>
        <w:tab/>
        <w:tab/>
        <w:tab/>
        <w:tab/>
        <w:tab/>
      </w:r>
    </w:p>
    <w:p>
      <w:pPr>
        <w:pStyle w:val="Normal"/>
        <w:jc w:val="center"/>
        <w:rPr>
          <w:b/>
          <w:sz w:val="24"/>
        </w:rPr>
      </w:pPr>
      <w:r>
        <w:rPr>
          <w:b/>
          <w:sz w:val="24"/>
        </w:rPr>
        <w:t>EXHIBIT “A”</w:t>
      </w:r>
    </w:p>
    <w:p>
      <w:pPr>
        <w:pStyle w:val="Normal"/>
        <w:jc w:val="center"/>
        <w:rPr>
          <w:b/>
          <w:sz w:val="24"/>
        </w:rPr>
      </w:pPr>
      <w:r>
        <w:rPr>
          <w:b/>
          <w:sz w:val="24"/>
        </w:rPr>
      </w:r>
    </w:p>
    <w:p>
      <w:pPr>
        <w:pStyle w:val="Normal"/>
        <w:jc w:val="center"/>
        <w:rPr>
          <w:b/>
          <w:sz w:val="24"/>
        </w:rPr>
      </w:pPr>
      <w:r>
        <w:rPr>
          <w:b/>
          <w:sz w:val="24"/>
        </w:rPr>
        <w:t>BASIC BUSINESS POINTS</w:t>
      </w:r>
    </w:p>
    <w:p>
      <w:pPr>
        <w:pStyle w:val="Normal"/>
        <w:jc w:val="both"/>
        <w:rPr>
          <w:b/>
          <w:sz w:val="24"/>
          <w:u w:val="single"/>
        </w:rPr>
      </w:pPr>
      <w:r>
        <w:rPr>
          <w:b/>
          <w:sz w:val="24"/>
          <w:u w:val="single"/>
        </w:rPr>
      </w:r>
    </w:p>
    <w:p>
      <w:pPr>
        <w:pStyle w:val="Normal"/>
        <w:jc w:val="both"/>
        <w:rPr>
          <w:sz w:val="24"/>
          <w:u w:val="single"/>
        </w:rPr>
      </w:pPr>
      <w:r>
        <w:rPr>
          <w:sz w:val="24"/>
          <w:u w:val="single"/>
        </w:rPr>
      </w:r>
    </w:p>
    <w:p>
      <w:pPr>
        <w:pStyle w:val="Normal"/>
        <w:numPr>
          <w:ilvl w:val="0"/>
          <w:numId w:val="2"/>
        </w:numPr>
        <w:rPr>
          <w:sz w:val="24"/>
        </w:rPr>
      </w:pPr>
      <w:r>
        <w:rPr>
          <w:sz w:val="24"/>
          <w:u w:val="single"/>
        </w:rPr>
        <w:t>Option Agreement</w:t>
      </w:r>
      <w:r>
        <w:rPr>
          <w:sz w:val="24"/>
        </w:rPr>
        <w:t>.  ENA and AES shall execute an Option Agreement on or before May 15, 2000.  This Option Agreement will grant AES the right in its sole discretion (the “Option”) to enter into each of the agreements (i.e., the Purchase Agreement, Development Agreement and Turbine Put Agreement) set forth in Sections 2, 3 and 4 below. AES shall pay ENA $5,000,000.00 U.S. Dollars as consideration for this Option. $1,250,000.00 of this Option premium shall be due upon execution of the Option Agreement.  The $3,750,000.00 balance shall be payable under a note from AES to ENA (any payments required to purchase the Calvert City site under the existing land option agreements shall be deemed payments against the note).  Principal and interest (at a rate equivalent to the current rate on AES’s corporate debt) on this note will be due in full on the earlier of December 31, 2000 or the date that AES exercises the Purchase Agreement (the “Maturity Date”).  The purchase note shall be secured by a supporting payment guarantee from the AES Corporation.  100% of this Option payment shall be applicable to AES payment obligations under the Purchase Agreement should AES elect to exercise its Option (the Option payment shall be retained by ENA in the event that the Option is not exercised in accordance with the terms hereof).  Under the Option Agreement, AES shall have the right, exercisable in its sole discretion, to enter into both the Development Agreement and Turbine Put Agreement (both agreements must be executed simultaneously) on or before September 1, 2000.  In addition, under the Option Agreement AES shall have the right, exercisable at its sole discretion, to enter into the Purchase Agreement on or before February 28, 2001 independent of whether the option to execute the Development Agreement and Turbine Put Agreement have been exercised.</w:t>
      </w:r>
    </w:p>
    <w:p>
      <w:pPr>
        <w:pStyle w:val="Normal"/>
        <w:rPr>
          <w:sz w:val="24"/>
          <w:u w:val="single"/>
        </w:rPr>
      </w:pPr>
      <w:r>
        <w:rPr>
          <w:sz w:val="24"/>
          <w:u w:val="single"/>
        </w:rPr>
      </w:r>
    </w:p>
    <w:p>
      <w:pPr>
        <w:pStyle w:val="Normal"/>
        <w:numPr>
          <w:ilvl w:val="0"/>
          <w:numId w:val="2"/>
        </w:numPr>
        <w:rPr>
          <w:sz w:val="24"/>
          <w:u w:val="single"/>
        </w:rPr>
      </w:pPr>
      <w:r>
        <w:rPr>
          <w:sz w:val="24"/>
          <w:u w:val="single"/>
        </w:rPr>
        <w:t>Purchase Agreement.</w:t>
      </w:r>
      <w:r>
        <w:rPr>
          <w:sz w:val="24"/>
        </w:rPr>
        <w:t xml:space="preserve">  Once AES executes the Option Agreement, AES shall have the right until December 31, 2000 to enter into a Purchase Agreement with ENA (the “Purchase Agreement”) to acquire all the outstanding member interests in Calvert  (“LLC Interests”), the single purpose entity which holds the options on an approximate 75-acre development site located in Calvert City, Kentucky, a TVA interconnection queue spot and the existing project permits, for $5,000,000.00 U.S. Dollars.  The purchase of the LLC Interests shall be on an “as-is”, “where-is” basis with limited representations.</w:t>
      </w:r>
    </w:p>
    <w:p>
      <w:pPr>
        <w:pStyle w:val="Normal"/>
        <w:rPr>
          <w:sz w:val="24"/>
          <w:u w:val="single"/>
        </w:rPr>
      </w:pPr>
      <w:r>
        <w:rPr>
          <w:sz w:val="24"/>
          <w:u w:val="single"/>
        </w:rPr>
      </w:r>
    </w:p>
    <w:p>
      <w:pPr>
        <w:pStyle w:val="Normal"/>
        <w:numPr>
          <w:ilvl w:val="0"/>
          <w:numId w:val="2"/>
        </w:numPr>
        <w:rPr>
          <w:sz w:val="24"/>
        </w:rPr>
      </w:pPr>
      <w:r>
        <w:rPr>
          <w:sz w:val="24"/>
          <w:u w:val="single"/>
        </w:rPr>
        <w:t>Development Agreement</w:t>
      </w:r>
      <w:r>
        <w:rPr>
          <w:sz w:val="24"/>
        </w:rPr>
        <w:t>.  Once AES executes the Option Agreement, AES shall also have the right until September 1, 2000 to execute a Development Agreement with ENA (the “Development Agreement”).  Under this Development Agreement, ENA will act as an independent contractor to assist AES in the securing of: a) a TVA interconnection agreement substantially in the form of the interconnection agreement for Gleason Power I, L.L.C. (“Interconnection Milestone”) (a copy of which shall be provided to AES during the due diligence review pursuant to Section 5 hereof) and b) a formal determination by TVA that the up front out-of-pocket TVA network  upgrade costs for AES’s proposed Project (as hereinafter defined) will not be greater than $10,000,000.00 U.S. Dollars (the “Cost Milestone”, the Interconnection Milestone and the Cost Milestone are referred to hereinafter, collectively as the “Development Milestones”).   The proposed Project (as hereinafter defined) will consist of three (3) gas-fired Mitsubishi F turbines (“Project”).  If the Development Milestones are achieved by February 28, 2001, ENA will be entitled to receive from AES a development success fee equal to 75% of any positive differential of $10,000,000.00 U.S. Dollars less the up front out-of-pocket TVA network upgrade costs for the Project.  If the Development Milestones are not achieved by February 28, 2001, ENA shall be entitled to no compensation under the Development Agreement and AES shall have the one-time right to exercise the Turbine Put (defined below); provided however, that ENA can elect, in its sole discretion, to purchase back AES’s Turbine Put right if it has achieved the Interconnection Milestone by February 28, 2001 and the network upgrade costs from TVA do not exceed $15,000,000.00 U.S. Dollars. ENA’s price for exercising this buyback option shall be 50% of the difference between the up front out-of-pocket TVA network upgrade costs and $10,000,000.00 U.S. Dollars.  ENA’s right to exercise this buyback right shall expire on the later of March 25, 2001 or 10 business days after AES exercises its Put Right.   ENA will not be entitled to any other fees or cost reimbursements under the Development Agreement.  ENA shall not be required to hire third parties to achieve the Development Milestones.  AES to use commercially reasonable efforts to assist ENA to achieve the Development Milestones by February 28, 2001.  ENA shall not be required to undertake any negotiations with TVA prior to the completion of its electrical interconnection for its Gleason, Tennessee project, which is scheduled to be completed on or before June 1, 2000.</w:t>
      </w:r>
    </w:p>
    <w:p>
      <w:pPr>
        <w:pStyle w:val="Normal"/>
        <w:rPr>
          <w:sz w:val="24"/>
        </w:rPr>
      </w:pPr>
      <w:r>
        <w:rPr>
          <w:sz w:val="24"/>
        </w:rPr>
        <w:t xml:space="preserve"> </w:t>
      </w:r>
    </w:p>
    <w:p>
      <w:pPr>
        <w:pStyle w:val="Normal"/>
        <w:numPr>
          <w:ilvl w:val="0"/>
          <w:numId w:val="2"/>
        </w:numPr>
        <w:rPr>
          <w:sz w:val="24"/>
        </w:rPr>
      </w:pPr>
      <w:r>
        <w:rPr>
          <w:sz w:val="24"/>
          <w:u w:val="single"/>
        </w:rPr>
        <w:t>Turbine Put Agreement</w:t>
      </w:r>
      <w:r>
        <w:rPr>
          <w:sz w:val="24"/>
        </w:rPr>
        <w:t>.  If AES exercises its option to enter into the Development Agreement pursuant to Section 3 hereof, AES shall also be obligated to simultaneously execute a Turbine Put Agreement with ENA (the “Turbine Put Agreement”).  This Turbine Put Agreement shall allow AES the one-time right, exercisable at its sole discretion if the Development Milestones are not achieved by February 28, 2001 (subject to ENA’s ability to repurchase the Put Right), to assign the purchase agreement for three (3) new gas-fired Mitsubishi F turbines (the “Turbines”) to ENA (or its assigns) for a total price not to exceed $39,000,000.00 U.S. Dollars (“Turbine Put”); provided that all necessary consents are obtained and the Turbines have an ex-works delivery date no later than November 30, 2001.  The purchase agreement for these turbines shall be in a form consistent with ENA’s standard turbine purchase agreements.  AES’s Turbine Put right shall expire, if not exercised, on or before 30 days after the earlier of February 28, 2001 or AES’s receipt of written notice from ENA of ENA’s inability to meet the Development Milestones. In the event that AES exercised its Turbine Put right and it uses (or causes/permits to be used) Calvert or its assets to develop a power plant before February 15, 2006, AES shall immediately become liable and pay to ENA $7,500,000.00 U.S. Dollars in cash.</w:t>
      </w:r>
    </w:p>
    <w:p>
      <w:pPr>
        <w:pStyle w:val="Normal"/>
        <w:rPr>
          <w:sz w:val="24"/>
          <w:u w:val="single"/>
        </w:rPr>
      </w:pPr>
      <w:r>
        <w:rPr>
          <w:sz w:val="24"/>
          <w:u w:val="single"/>
        </w:rPr>
      </w:r>
    </w:p>
    <w:p>
      <w:pPr>
        <w:pStyle w:val="Normal"/>
        <w:numPr>
          <w:ilvl w:val="0"/>
          <w:numId w:val="2"/>
        </w:numPr>
        <w:rPr>
          <w:sz w:val="24"/>
        </w:rPr>
      </w:pPr>
      <w:r>
        <w:rPr>
          <w:sz w:val="24"/>
          <w:u w:val="single"/>
        </w:rPr>
        <w:t>Due Diligence</w:t>
      </w:r>
      <w:r>
        <w:rPr>
          <w:sz w:val="24"/>
        </w:rPr>
        <w:t>.  AES to complete its due diligence review of Calvert by May 15, 2000.  AES and ENA to cooperate in the completion of AES’s due diligence review.  ENA to complete its due diligence review of AES’s purchase agreement for Mitsubishi turbines by May 15, 2000 (including confirmation of underlying turbine costs).  To the extent that the purchase contract has not been finalized, ENA shall provide AES with the necessary changes in order to conform the draft contract to meet ENA’s standard turbine purchase contract requirements.  AES and ENA agree to cooperate in the completion of AES’s due diligence review.  As part of this due diligence work, ENA will supply AES with an executed copy of the Gleason Interconnection Agreement and any additional due diligence information reasonably necessary for AES to evaluate the proposed transactions. AES and ENA to agree to a specific third party contact list before any third-party due diligence contacts are made.  All contact with TVA to be coordinated through ENA and made after the Development Agreement is executed.</w:t>
      </w:r>
    </w:p>
    <w:sectPr>
      <w:headerReference w:type="default" r:id="rId6"/>
      <w:headerReference w:type="first" r:id="rId7"/>
      <w:footerReference w:type="default" r:id="rId8"/>
      <w:footerReference w:type="first" r:id="rId9"/>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/mnt/main-storage/datasets/enron-docs/doc/AES_LOI.doc</w:t>
    </w:r>
    <w:r>
      <w:rPr>
        <w:sz w:val="14"/>
        <w:lang w:eastAsia="en-US"/>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/mnt/main-storage/datasets/enron-docs/doc/AES_LOI.doc</w:t>
    </w:r>
    <w:r>
      <w:rPr>
        <w:sz w:val="14"/>
      </w:rPr>
      <w:fldChar w:fldCharType="end"/>
    </w:r>
  </w:p>
  <w:p>
    <w:pPr>
      <w:pStyle w:val="Footer"/>
      <w:rPr>
        <w:sz w:val="14"/>
      </w:rPr>
    </w:pPr>
    <w:r>
      <w:rPr>
        <w:sz w:val="14"/>
      </w:rPr>
    </w:r>
  </w:p>
  <w:p>
    <w:pPr>
      <w:pStyle w:val="Footer"/>
      <w:jc w:val="center"/>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/mnt/main-storage/datasets/enron-docs/doc/AES_LOI.doc</w:t>
    </w:r>
    <w:r>
      <w:rPr>
        <w:sz w:val="14"/>
        <w:lang w:eastAsia="en-US"/>
      </w:rPr>
      <w:fldChar w:fldCharType="end"/>
    </w:r>
    <w:r>
      <w:rPr>
        <w:sz w:val="14"/>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/mnt/main-storage/datasets/enron-docs/doc/AES_LOI.doc</w:t>
    </w:r>
    <w:r>
      <w:rPr>
        <w:sz w:val="14"/>
      </w:rPr>
      <w:fldChar w:fldCharType="end"/>
    </w:r>
  </w:p>
  <w:p>
    <w:pPr>
      <w:pStyle w:val="Footer"/>
      <w:rPr>
        <w:sz w:val="14"/>
      </w:rPr>
    </w:pPr>
    <w:r>
      <w:rPr>
        <w:sz w:val="14"/>
      </w:rPr>
    </w:r>
  </w:p>
  <w:p>
    <w:pPr>
      <w:pStyle w:val="Footer"/>
      <w:jc w:val="center"/>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sz w:val="22"/>
      </w:rPr>
      <w:tab/>
      <w:tab/>
    </w:r>
    <w:r>
      <w:rPr>
        <w:b/>
      </w:rPr>
      <w:t xml:space="preserve">DRAFT: </w:t>
    </w:r>
    <w:r>
      <w:rPr>
        <w:b/>
      </w:rPr>
      <w:fldChar w:fldCharType="begin"/>
    </w:r>
    <w:r>
      <w:rPr>
        <w:b/>
      </w:rPr>
      <w:instrText xml:space="preserve"> DATE \@"MMMM\ d', 'yyyy" </w:instrText>
    </w:r>
    <w:r>
      <w:rPr>
        <w:b/>
      </w:rPr>
      <w:fldChar w:fldCharType="separate"/>
    </w:r>
    <w:r>
      <w:rPr>
        <w:b/>
      </w:rPr>
      <w:t>September 28, 2025</w:t>
    </w:r>
    <w:r>
      <w:rPr>
        <w:b/>
      </w:rPr>
      <w:fldChar w:fldCharType="end"/>
    </w:r>
  </w:p>
  <w:p>
    <w:pPr>
      <w:pStyle w:val="Header"/>
      <w:tabs>
        <w:tab w:val="clear" w:pos="8640"/>
        <w:tab w:val="center" w:pos="4320" w:leader="none"/>
        <w:tab w:val="right" w:pos="9630" w:leader="none"/>
      </w:tabs>
      <w:jc w:val="end"/>
      <w:rPr>
        <w:b/>
      </w:rPr>
    </w:pPr>
    <w:r>
      <w:rPr>
        <w:b/>
      </w:rPr>
      <w:t xml:space="preserve">For Internal ENA Review and </w:t>
    </w:r>
  </w:p>
  <w:p>
    <w:pPr>
      <w:pStyle w:val="Header"/>
      <w:tabs>
        <w:tab w:val="clear" w:pos="8640"/>
        <w:tab w:val="center" w:pos="4320" w:leader="none"/>
        <w:tab w:val="right" w:pos="9630" w:leader="none"/>
      </w:tabs>
      <w:jc w:val="end"/>
      <w:rPr>
        <w:b/>
      </w:rPr>
    </w:pPr>
    <w:r>
      <w:rPr>
        <w:b/>
      </w:rPr>
      <w:t>Discussion Purposes Only</w:t>
    </w:r>
  </w:p>
  <w:p>
    <w:pPr>
      <w:pStyle w:val="Header"/>
      <w:tabs>
        <w:tab w:val="clear" w:pos="8640"/>
        <w:tab w:val="center" w:pos="4320" w:leader="none"/>
        <w:tab w:val="right" w:pos="9630" w:leader="none"/>
      </w:tabs>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tabs>
        <w:tab w:val="clear" w:pos="8640"/>
        <w:tab w:val="center" w:pos="4320" w:leader="none"/>
        <w:tab w:val="right" w:pos="9630" w:leader="none"/>
      </w:tabs>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 xml:space="preserve">DRAFT: </w:t>
    </w:r>
    <w:r>
      <w:rPr>
        <w:b/>
      </w:rPr>
      <w:fldChar w:fldCharType="begin"/>
    </w:r>
    <w:r>
      <w:rPr>
        <w:b/>
      </w:rPr>
      <w:instrText xml:space="preserve"> DATE \@"MMMM\ d', 'yyyy" </w:instrText>
    </w:r>
    <w:r>
      <w:rPr>
        <w:b/>
      </w:rPr>
      <w:fldChar w:fldCharType="separate"/>
    </w:r>
    <w:r>
      <w:rPr>
        <w:b/>
      </w:rPr>
      <w:t>September 28, 2025</w:t>
    </w:r>
    <w:r>
      <w:rPr>
        <w:b/>
      </w:rPr>
      <w:fldChar w:fldCharType="end"/>
    </w:r>
  </w:p>
  <w:p>
    <w:pPr>
      <w:pStyle w:val="Header"/>
      <w:tabs>
        <w:tab w:val="clear" w:pos="4320"/>
        <w:tab w:val="clear" w:pos="8640"/>
        <w:tab w:val="right" w:pos="9540" w:leader="none"/>
        <w:tab w:val="right" w:pos="9630" w:leader="none"/>
      </w:tabs>
      <w:jc w:val="end"/>
      <w:rPr>
        <w:b/>
      </w:rPr>
    </w:pPr>
    <w:r>
      <w:rPr>
        <w:b/>
      </w:rPr>
      <w:t>For Internal ENA Review and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sz w:val="22"/>
      </w:rPr>
      <w:tab/>
      <w:tab/>
    </w:r>
    <w:r>
      <w:rPr>
        <w:b/>
      </w:rPr>
      <w:t xml:space="preserve">DRAFT: </w:t>
    </w:r>
    <w:r>
      <w:rPr>
        <w:b/>
      </w:rPr>
      <w:fldChar w:fldCharType="begin"/>
    </w:r>
    <w:r>
      <w:rPr>
        <w:b/>
      </w:rPr>
      <w:instrText xml:space="preserve"> DATE \@"MMMM\ d', 'yyyy" </w:instrText>
    </w:r>
    <w:r>
      <w:rPr>
        <w:b/>
      </w:rPr>
      <w:fldChar w:fldCharType="separate"/>
    </w:r>
    <w:r>
      <w:rPr>
        <w:b/>
      </w:rPr>
      <w:t>September 28, 2025</w:t>
    </w:r>
    <w:r>
      <w:rPr>
        <w:b/>
      </w:rPr>
      <w:fldChar w:fldCharType="end"/>
    </w:r>
  </w:p>
  <w:p>
    <w:pPr>
      <w:pStyle w:val="Header"/>
      <w:tabs>
        <w:tab w:val="clear" w:pos="8640"/>
        <w:tab w:val="center" w:pos="4320" w:leader="none"/>
        <w:tab w:val="right" w:pos="9630" w:leader="none"/>
      </w:tabs>
      <w:jc w:val="end"/>
      <w:rPr>
        <w:b/>
      </w:rPr>
    </w:pPr>
    <w:r>
      <w:rPr>
        <w:b/>
      </w:rPr>
      <w:t xml:space="preserve">For Internal ENA Review and </w:t>
    </w:r>
  </w:p>
  <w:p>
    <w:pPr>
      <w:pStyle w:val="Header"/>
      <w:tabs>
        <w:tab w:val="clear" w:pos="8640"/>
        <w:tab w:val="center" w:pos="4320" w:leader="none"/>
        <w:tab w:val="right" w:pos="9630" w:leader="none"/>
      </w:tabs>
      <w:jc w:val="end"/>
      <w:rPr>
        <w:b/>
      </w:rPr>
    </w:pPr>
    <w:r>
      <w:rPr>
        <w:b/>
      </w:rPr>
      <w:t>Discussion Purposes Only</w:t>
    </w:r>
  </w:p>
  <w:p>
    <w:pPr>
      <w:pStyle w:val="Header"/>
      <w:tabs>
        <w:tab w:val="clear" w:pos="8640"/>
        <w:tab w:val="center" w:pos="4320" w:leader="none"/>
        <w:tab w:val="right" w:pos="9630" w:leader="none"/>
      </w:tabs>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 xml:space="preserve">DRAFT: </w:t>
    </w:r>
    <w:r>
      <w:rPr>
        <w:b/>
      </w:rPr>
      <w:fldChar w:fldCharType="begin"/>
    </w:r>
    <w:r>
      <w:rPr>
        <w:b/>
      </w:rPr>
      <w:instrText xml:space="preserve"> DATE \@"MMMM\ d', 'yyyy" </w:instrText>
    </w:r>
    <w:r>
      <w:rPr>
        <w:b/>
      </w:rPr>
      <w:fldChar w:fldCharType="separate"/>
    </w:r>
    <w:r>
      <w:rPr>
        <w:b/>
      </w:rPr>
      <w:t>September 28, 2025</w:t>
    </w:r>
    <w:r>
      <w:rPr>
        <w:b/>
      </w:rPr>
      <w:fldChar w:fldCharType="end"/>
    </w:r>
  </w:p>
  <w:p>
    <w:pPr>
      <w:pStyle w:val="Header"/>
      <w:tabs>
        <w:tab w:val="clear" w:pos="4320"/>
        <w:tab w:val="clear" w:pos="8640"/>
        <w:tab w:val="right" w:pos="9540" w:leader="none"/>
        <w:tab w:val="right" w:pos="9630" w:leader="none"/>
      </w:tabs>
      <w:jc w:val="end"/>
      <w:rPr>
        <w:b/>
      </w:rPr>
    </w:pPr>
    <w:r>
      <w:rPr>
        <w:b/>
      </w:rPr>
      <w:t>For Internal ENA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numFmt w:val="decimal"/>
      <w:lvlText w:val="%1."/>
      <w:lvlJc w:val="start"/>
      <w:pPr>
        <w:tabs>
          <w:tab w:val="num" w:pos="1440"/>
        </w:tabs>
        <w:ind w:start="1440" w:hanging="720"/>
      </w:pPr>
      <w:rPr>
        <w:b w:val="false"/>
      </w:rPr>
    </w:lvl>
  </w:abstractNum>
  <w:abstractNum w:abstractNumId="2">
    <w:lvl w:ilvl="0">
      <w:start w:val="1"/>
      <w:numFmt w:val="decimal"/>
      <w:lvlText w:val="%1."/>
      <w:lvlJc w:val="start"/>
      <w:pPr>
        <w:tabs>
          <w:tab w:val="num" w:pos="360"/>
        </w:tabs>
        <w:ind w:start="360" w:hanging="360"/>
      </w:pPr>
      <w:rPr>
        <w:u w:val="none"/>
      </w:rPr>
    </w:lvl>
  </w:abstractNum>
  <w:abstractNum w:abstractNumId="3">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b w:val="false"/>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rFonts w:ascii="Times New Roman" w:hAnsi="Times New Roman" w:cs="Times New Roman"/>
      <w:b w:val="false"/>
      <w:i w:val="false"/>
      <w:sz w:val="22"/>
      <w:u w:val="none"/>
    </w:rPr>
  </w:style>
  <w:style w:type="character" w:styleId="WW8Num7z0">
    <w:name w:val="WW8Num7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b/>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2000-04-04T19:54:00Z</dcterms:created>
  <dc:creator>ECT</dc:creator>
  <dc:description/>
  <dc:language>en-CA</dc:language>
  <cp:lastModifiedBy>szisman</cp:lastModifiedBy>
  <cp:lastPrinted>2000-04-05T12:47:00Z</cp:lastPrinted>
  <dcterms:modified xsi:type="dcterms:W3CDTF">2000-04-10T15:40:00Z</dcterms:modified>
  <cp:revision>16</cp:revision>
  <dc:subject/>
  <dc:title>[ECT Letterhead]</dc:title>
</cp:coreProperties>
</file>