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rPr>
      </w:pPr>
      <w:r>
        <w:rPr>
          <w:rFonts w:cs="Arial" w:ascii="Arial" w:hAnsi="Arial"/>
        </w:rPr>
      </w:r>
    </w:p>
    <w:p>
      <w:pPr>
        <w:pStyle w:val="Normal"/>
        <w:jc w:val="center"/>
        <w:rPr/>
      </w:pPr>
      <w:r>
        <w:rPr>
          <w:rFonts w:cs="Arial" w:ascii="Arial" w:hAnsi="Arial"/>
          <w:b/>
          <w:sz w:val="24"/>
        </w:rPr>
        <w:t xml:space="preserve">AEP comments to the draft Morgan Stanley </w:t>
      </w:r>
      <w:r>
        <w:rPr>
          <w:rFonts w:cs="Arial" w:ascii="Arial" w:hAnsi="Arial"/>
          <w:b/>
          <w:sz w:val="24"/>
          <w:u w:val="single"/>
        </w:rPr>
        <w:t>EEI  Collateral Annex</w:t>
      </w:r>
      <w:r>
        <w:rPr>
          <w:rFonts w:cs="Arial" w:ascii="Arial" w:hAnsi="Arial"/>
          <w:b/>
          <w:sz w:val="24"/>
        </w:rPr>
        <w:t xml:space="preserve"> </w:t>
      </w:r>
    </w:p>
    <w:p>
      <w:pPr>
        <w:pStyle w:val="Normal"/>
        <w:jc w:val="center"/>
        <w:rPr>
          <w:rFonts w:ascii="Arial" w:hAnsi="Arial" w:cs="Arial"/>
          <w:b/>
          <w:sz w:val="24"/>
          <w:u w:val="single"/>
        </w:rPr>
      </w:pPr>
      <w:r>
        <w:rPr>
          <w:rFonts w:cs="Arial" w:ascii="Arial" w:hAnsi="Arial"/>
          <w:b/>
          <w:sz w:val="24"/>
          <w:u w:val="single"/>
        </w:rPr>
      </w:r>
    </w:p>
    <w:p>
      <w:pPr>
        <w:pStyle w:val="Heading1"/>
        <w:ind w:hanging="0" w:start="0"/>
        <w:jc w:val="both"/>
        <w:rPr>
          <w:rFonts w:ascii="Arial" w:hAnsi="Arial" w:cs="Arial"/>
          <w:u w:val="single"/>
        </w:rPr>
      </w:pPr>
      <w:r>
        <w:rPr>
          <w:rFonts w:cs="Arial"/>
          <w:u w:val="single"/>
        </w:rPr>
      </w:r>
    </w:p>
    <w:p>
      <w:pPr>
        <w:pStyle w:val="Heading1"/>
        <w:ind w:hanging="0" w:start="0"/>
        <w:jc w:val="both"/>
        <w:rPr>
          <w:b/>
        </w:rPr>
      </w:pPr>
      <w:r>
        <w:rPr>
          <w:b/>
        </w:rPr>
        <w:t>Specific Comments</w:t>
      </w:r>
    </w:p>
    <w:p>
      <w:pPr>
        <w:pStyle w:val="Normal"/>
        <w:jc w:val="both"/>
        <w:rPr>
          <w:rFonts w:ascii="Arial" w:hAnsi="Arial" w:cs="Arial"/>
          <w:b/>
        </w:rPr>
      </w:pPr>
      <w:r>
        <w:rPr>
          <w:rFonts w:cs="Arial" w:ascii="Arial" w:hAnsi="Arial"/>
          <w:b/>
        </w:rPr>
      </w:r>
    </w:p>
    <w:p>
      <w:pPr>
        <w:pStyle w:val="Heading2"/>
        <w:ind w:hanging="0" w:start="0"/>
        <w:rPr/>
      </w:pPr>
      <w:r>
        <w:rPr/>
        <w:t>Section 1. Definitions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Collateral”- We would specify that cash is in U.S. currency.  We would specify that the Letter of Credit be issued by a U.S. commercial bank or a foreign bank with a U.S. branch acceptable to Pledgee with such bank having a credit rating of at least A- from S&amp;P or A3 from Moody’s.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Collateral Value” – We would specify a difference between cash, a letter of credit and collateral on deposit by stating in the case of cash, the face value; in the case of letters of credit, face value unless the expiration date is less than 30 days, in which case the value shall be zero; and in the case of any other collateral, the fair market value as stated in the collateral annex.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Custodian” – We would specify a rating to be included for the bank or trust company, for instance, with a rating of at least A- or greater from S&amp;P or Moody’s equivalent.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Mark-To-Market Value” – We think that “out of the money amount” should be further defined.  Mark to Market Value is the difference between the then current market value or replacement value and the contracted value.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MTM Calculation Date”- We would change this definition title to Valuation Date which may be more appropriate.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Net Exposure Amount” – We would expand this definition.  Under (a) we would add plus receivables billed but unpaid and delivered but not billed.  Also we think this definition should be linked to termination payment in the EEI Agreement.  And then under (b) we would add any collateral amount previously posted to the Pledgor’s Collateral Threshold.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Pledgor/Pledgee” –  We’re not sure about the definition as it is stated here.  We would change it to state that Pledgee is the Party receiving collateral for their net exposure amount.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Valuation Time” – We may want to specify a valuation time.</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3. Calculations and Determinations</w:t>
      </w:r>
      <w:r>
        <w:rPr>
          <w:rFonts w:cs="Arial" w:ascii="Arial" w:hAnsi="Arial"/>
        </w:rPr>
        <w:t>: We would change MTM Calculation Date to Valuation Date per our change in the definition section.  We would also delete (i) and take out the Net Mark to Market Value, if any.</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4. Delivery of Collateral</w:t>
      </w:r>
      <w:r>
        <w:rPr>
          <w:rFonts w:cs="Arial" w:ascii="Arial" w:hAnsi="Arial"/>
        </w:rPr>
        <w:t>: We would change MTM Calculation Date to Valuation Date per our change in the definition section.</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5.</w:t>
      </w:r>
      <w:r>
        <w:rPr>
          <w:rFonts w:cs="Arial" w:ascii="Arial" w:hAnsi="Arial"/>
        </w:rPr>
        <w:t xml:space="preserve"> </w:t>
      </w:r>
      <w:r>
        <w:rPr>
          <w:rFonts w:cs="Arial" w:ascii="Arial" w:hAnsi="Arial"/>
          <w:u w:val="single"/>
        </w:rPr>
        <w:t>Return of Additional Collateral</w:t>
      </w:r>
      <w:r>
        <w:rPr>
          <w:rFonts w:cs="Arial" w:ascii="Arial" w:hAnsi="Arial"/>
        </w:rPr>
        <w:t>: We would change MTM Calculation Date to Valuation Date per our change in the definition section.  Under (b), where it discusses that Pledgor may substitute Collateral upon written notice, we would want to expand this to say that if the form of collateral is to be changed, only with the consent of the Pledgee.</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6.</w:t>
      </w:r>
      <w:r>
        <w:rPr>
          <w:rFonts w:cs="Arial" w:ascii="Arial" w:hAnsi="Arial"/>
        </w:rPr>
        <w:t xml:space="preserve"> </w:t>
      </w:r>
      <w:r>
        <w:rPr>
          <w:rFonts w:cs="Arial" w:ascii="Arial" w:hAnsi="Arial"/>
          <w:u w:val="single"/>
        </w:rPr>
        <w:t>Administration of Collateral</w:t>
      </w:r>
      <w:r>
        <w:rPr>
          <w:rFonts w:cs="Arial" w:ascii="Arial" w:hAnsi="Arial"/>
        </w:rPr>
        <w:t>:  Under 6(a), we would want the eligibility to hold and use posted collateral to be further defined by if there is an event of default and the rating of the entity holding the collateral.  Also, we would want it to be an elective as to whether or not interest with respect to Cash Collateral is to be paid, and there should be a section where it can be negotiated on how and when interest is to be paid if it is elected to be paid.</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7.</w:t>
      </w:r>
      <w:r>
        <w:rPr>
          <w:rFonts w:cs="Arial" w:ascii="Arial" w:hAnsi="Arial"/>
        </w:rPr>
        <w:t xml:space="preserve"> </w:t>
      </w:r>
      <w:r>
        <w:rPr>
          <w:rFonts w:cs="Arial" w:ascii="Arial" w:hAnsi="Arial"/>
          <w:u w:val="single"/>
        </w:rPr>
        <w:t>Exercise of Rights Against Collateral</w:t>
      </w:r>
      <w:r>
        <w:rPr>
          <w:rFonts w:cs="Arial" w:ascii="Arial" w:hAnsi="Arial"/>
        </w:rPr>
        <w:t>:  What are the rights and remedies of the Pledgor if the Pledgee is in Default?  We would want a provision which permits Pledgor to setoff all amounts owed to Pledgee against collateral held by Plegee and demand remaining collateral to be returned to Pledgor within two business days.</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8. Disputes</w:t>
      </w:r>
      <w:r>
        <w:rPr>
          <w:rFonts w:cs="Arial" w:ascii="Arial" w:hAnsi="Arial"/>
        </w:rPr>
        <w: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What is the difference between a Determination and a Calculation?</w:t>
      </w:r>
    </w:p>
    <w:p>
      <w:pPr>
        <w:pStyle w:val="Normal"/>
        <w:numPr>
          <w:ilvl w:val="0"/>
          <w:numId w:val="3"/>
        </w:numPr>
        <w:jc w:val="both"/>
        <w:rPr>
          <w:rFonts w:ascii="Arial" w:hAnsi="Arial" w:cs="Arial"/>
        </w:rPr>
      </w:pPr>
      <w:r>
        <w:rPr>
          <w:rFonts w:cs="Arial" w:ascii="Arial" w:hAnsi="Arial"/>
        </w:rPr>
        <w:t>Under Option A:  One Business Day to resolve a disagreement as to a disputed amount seems too short.</w:t>
      </w:r>
    </w:p>
    <w:p>
      <w:pPr>
        <w:pStyle w:val="Normal"/>
        <w:numPr>
          <w:ilvl w:val="0"/>
          <w:numId w:val="3"/>
        </w:numPr>
        <w:jc w:val="both"/>
        <w:rPr>
          <w:rFonts w:ascii="Arial" w:hAnsi="Arial" w:cs="Arial"/>
        </w:rPr>
      </w:pPr>
      <w:r>
        <w:rPr>
          <w:rFonts w:cs="Arial" w:ascii="Arial" w:hAnsi="Arial"/>
        </w:rPr>
        <w:t>Under Option B:  Again, One Business Day to resolve a disagreement as to a disputed amount seems too short.</w:t>
      </w:r>
    </w:p>
    <w:p>
      <w:pPr>
        <w:pStyle w:val="Normal"/>
        <w:numPr>
          <w:ilvl w:val="0"/>
          <w:numId w:val="3"/>
        </w:numPr>
        <w:jc w:val="both"/>
        <w:rPr>
          <w:rFonts w:ascii="Arial" w:hAnsi="Arial" w:cs="Arial"/>
        </w:rPr>
      </w:pPr>
      <w:r>
        <w:rPr>
          <w:rFonts w:cs="Arial" w:ascii="Arial" w:hAnsi="Arial"/>
        </w:rPr>
        <w:t>Option C:  We do not understand this option, could we have an explanation?</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Section 9. Covenants</w:t>
      </w:r>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We would state that the Governing Law and Jurisdiction should be the same as specified in the EEI Master Agreement.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These are the bulk of AEP’s comments, but we may make additional comments.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jc w:val="both"/>
      <w:outlineLvl w:val="1"/>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2001-06-05T10:22:00Z</dcterms:created>
  <dc:creator>sstack</dc:creator>
  <dc:description/>
  <dc:language>en-CA</dc:language>
  <cp:lastModifiedBy>s998444</cp:lastModifiedBy>
  <cp:lastPrinted>2001-06-05T08:51:00Z</cp:lastPrinted>
  <dcterms:modified xsi:type="dcterms:W3CDTF">2001-06-07T10:04:00Z</dcterms:modified>
  <cp:revision>6</cp:revision>
  <dc:subject/>
  <dc:title>Enron comments to the draft Morgan Stanley Collateral Annex</dc:title>
</cp:coreProperties>
</file>