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b/>
          <w:sz w:val="28"/>
          <w:u w:val="single"/>
        </w:rPr>
      </w:pPr>
      <w:r>
        <w:rPr>
          <w:b/>
          <w:sz w:val="28"/>
          <w:u w:val="single"/>
        </w:rPr>
        <w:t>Executive Market Summary</w:t>
      </w:r>
    </w:p>
    <w:p>
      <w:pPr>
        <w:pStyle w:val="Normal"/>
        <w:jc w:val="both"/>
        <w:rPr>
          <w:b/>
          <w:sz w:val="24"/>
          <w:u w:val="single"/>
        </w:rPr>
      </w:pPr>
      <w:r>
        <w:rPr>
          <w:b/>
          <w:sz w:val="24"/>
          <w:u w:val="single"/>
        </w:rPr>
      </w:r>
    </w:p>
    <w:tbl>
      <w:tblPr>
        <w:tblW w:w="10458" w:type="dxa"/>
        <w:jc w:val="start"/>
        <w:tblInd w:w="0" w:type="dxa"/>
        <w:tblLayout w:type="fixed"/>
        <w:tblCellMar>
          <w:top w:w="0" w:type="dxa"/>
          <w:start w:w="108" w:type="dxa"/>
          <w:bottom w:w="0" w:type="dxa"/>
          <w:end w:w="108" w:type="dxa"/>
        </w:tblCellMar>
      </w:tblPr>
      <w:tblGrid>
        <w:gridCol w:w="1771"/>
        <w:gridCol w:w="2657"/>
        <w:gridCol w:w="270"/>
        <w:gridCol w:w="2970"/>
        <w:gridCol w:w="2790"/>
      </w:tblGrid>
      <w:tr>
        <w:trPr/>
        <w:tc>
          <w:tcPr>
            <w:tcW w:w="1771" w:type="dxa"/>
            <w:tcBorders/>
          </w:tcPr>
          <w:p>
            <w:pPr>
              <w:pStyle w:val="Heading2"/>
              <w:ind w:hanging="0" w:start="0"/>
              <w:jc w:val="both"/>
              <w:rPr/>
            </w:pPr>
            <w:r>
              <w:rPr/>
              <w:t>State</w:t>
            </w:r>
          </w:p>
        </w:tc>
        <w:tc>
          <w:tcPr>
            <w:tcW w:w="2657" w:type="dxa"/>
            <w:tcBorders/>
          </w:tcPr>
          <w:p>
            <w:pPr>
              <w:pStyle w:val="Heading3"/>
              <w:ind w:hanging="0" w:start="0"/>
              <w:jc w:val="both"/>
              <w:rPr>
                <w:color w:val="000000"/>
              </w:rPr>
            </w:pPr>
            <w:r>
              <w:rPr>
                <w:color w:val="000000"/>
              </w:rPr>
              <w:t>Texas</w:t>
            </w:r>
          </w:p>
        </w:tc>
        <w:tc>
          <w:tcPr>
            <w:tcW w:w="270" w:type="dxa"/>
            <w:tcBorders/>
          </w:tcPr>
          <w:p>
            <w:pPr>
              <w:pStyle w:val="Normal"/>
              <w:snapToGrid w:val="false"/>
              <w:jc w:val="both"/>
              <w:rPr>
                <w:color w:val="000000"/>
                <w:sz w:val="24"/>
              </w:rPr>
            </w:pPr>
            <w:r>
              <w:rPr>
                <w:color w:val="000000"/>
                <w:sz w:val="24"/>
              </w:rPr>
            </w:r>
          </w:p>
        </w:tc>
        <w:tc>
          <w:tcPr>
            <w:tcW w:w="2970" w:type="dxa"/>
            <w:tcBorders/>
          </w:tcPr>
          <w:p>
            <w:pPr>
              <w:pStyle w:val="Heading2"/>
              <w:ind w:hanging="0" w:start="162" w:end="0"/>
              <w:rPr/>
            </w:pPr>
            <w:r>
              <w:rPr/>
              <w:t>Information Sources</w:t>
            </w:r>
          </w:p>
        </w:tc>
        <w:tc>
          <w:tcPr>
            <w:tcW w:w="2790" w:type="dxa"/>
            <w:tcBorders/>
          </w:tcPr>
          <w:p>
            <w:pPr>
              <w:pStyle w:val="Normal"/>
              <w:snapToGrid w:val="false"/>
              <w:ind w:end="342"/>
              <w:jc w:val="both"/>
              <w:rPr>
                <w:sz w:val="24"/>
              </w:rPr>
            </w:pPr>
            <w:r>
              <w:rPr>
                <w:sz w:val="24"/>
              </w:rPr>
            </w:r>
          </w:p>
        </w:tc>
      </w:tr>
      <w:tr>
        <w:trPr/>
        <w:tc>
          <w:tcPr>
            <w:tcW w:w="1771" w:type="dxa"/>
            <w:tcBorders/>
          </w:tcPr>
          <w:p>
            <w:pPr>
              <w:pStyle w:val="Heading2"/>
              <w:ind w:hanging="0" w:start="0"/>
              <w:jc w:val="both"/>
              <w:rPr/>
            </w:pPr>
            <w:r>
              <w:rPr/>
              <w:t>Utility</w:t>
            </w:r>
          </w:p>
        </w:tc>
        <w:tc>
          <w:tcPr>
            <w:tcW w:w="2657" w:type="dxa"/>
            <w:tcBorders/>
          </w:tcPr>
          <w:p>
            <w:pPr>
              <w:pStyle w:val="Heading3"/>
              <w:ind w:hanging="0" w:start="0"/>
              <w:rPr>
                <w:color w:val="000000"/>
              </w:rPr>
            </w:pPr>
            <w:r>
              <w:rPr>
                <w:color w:val="000000"/>
              </w:rPr>
              <w:t>American Electric Power</w:t>
            </w:r>
          </w:p>
          <w:p>
            <w:pPr>
              <w:pStyle w:val="Normal"/>
              <w:rPr/>
            </w:pPr>
            <w:r>
              <w:rPr/>
              <w:t>*Central Power &amp; Light</w:t>
            </w:r>
          </w:p>
          <w:p>
            <w:pPr>
              <w:pStyle w:val="Normal"/>
              <w:rPr/>
            </w:pPr>
            <w:r>
              <w:rPr/>
              <w:t>*Southwestern Electric Power</w:t>
            </w:r>
          </w:p>
          <w:p>
            <w:pPr>
              <w:pStyle w:val="Normal"/>
              <w:rPr/>
            </w:pPr>
            <w:r>
              <w:rPr/>
              <w:t>*West Texas Utilities</w:t>
            </w:r>
          </w:p>
          <w:p>
            <w:pPr>
              <w:pStyle w:val="Normal"/>
              <w:ind w:end="-108"/>
              <w:rPr/>
            </w:pPr>
            <w:r>
              <w:rPr/>
            </w:r>
          </w:p>
        </w:tc>
        <w:tc>
          <w:tcPr>
            <w:tcW w:w="270" w:type="dxa"/>
            <w:tcBorders/>
          </w:tcPr>
          <w:p>
            <w:pPr>
              <w:pStyle w:val="Normal"/>
              <w:snapToGrid w:val="false"/>
              <w:jc w:val="both"/>
              <w:rPr>
                <w:sz w:val="24"/>
              </w:rPr>
            </w:pPr>
            <w:r>
              <w:rPr>
                <w:sz w:val="24"/>
              </w:rPr>
            </w:r>
          </w:p>
        </w:tc>
        <w:tc>
          <w:tcPr>
            <w:tcW w:w="2970" w:type="dxa"/>
            <w:tcBorders/>
          </w:tcPr>
          <w:p>
            <w:pPr>
              <w:pStyle w:val="Heading3"/>
              <w:ind w:hanging="0" w:start="162" w:end="0"/>
              <w:jc w:val="both"/>
              <w:rPr>
                <w:b/>
                <w:bCs/>
                <w:color w:val="000000"/>
              </w:rPr>
            </w:pPr>
            <w:r>
              <w:rPr>
                <w:b/>
                <w:bCs/>
                <w:color w:val="000000"/>
              </w:rPr>
              <w:t>Provider Support</w:t>
            </w:r>
          </w:p>
          <w:p>
            <w:pPr>
              <w:pStyle w:val="Normal"/>
              <w:jc w:val="both"/>
              <w:rPr/>
            </w:pPr>
            <w:r>
              <w:rPr/>
              <w:t xml:space="preserve">    </w:t>
            </w:r>
            <w:r>
              <w:rPr>
                <w:sz w:val="24"/>
              </w:rPr>
              <w:t>Jane Eyanson</w:t>
            </w:r>
          </w:p>
          <w:p>
            <w:pPr>
              <w:pStyle w:val="Normal"/>
              <w:jc w:val="both"/>
              <w:rPr>
                <w:sz w:val="24"/>
              </w:rPr>
            </w:pPr>
            <w:r>
              <w:rPr>
                <w:sz w:val="24"/>
              </w:rPr>
            </w:r>
          </w:p>
          <w:p>
            <w:pPr>
              <w:pStyle w:val="Normal"/>
              <w:jc w:val="both"/>
              <w:rPr>
                <w:sz w:val="24"/>
              </w:rPr>
            </w:pPr>
            <w:r>
              <w:rPr>
                <w:sz w:val="24"/>
              </w:rPr>
              <w:t xml:space="preserve">   </w:t>
            </w:r>
            <w:r>
              <w:rPr>
                <w:sz w:val="24"/>
              </w:rPr>
              <w:t>Kevin Vass</w:t>
            </w:r>
          </w:p>
        </w:tc>
        <w:tc>
          <w:tcPr>
            <w:tcW w:w="2790" w:type="dxa"/>
            <w:tcBorders/>
          </w:tcPr>
          <w:p>
            <w:pPr>
              <w:pStyle w:val="Normal"/>
              <w:snapToGrid w:val="false"/>
              <w:ind w:end="342"/>
              <w:jc w:val="both"/>
              <w:rPr>
                <w:sz w:val="24"/>
              </w:rPr>
            </w:pPr>
            <w:r>
              <w:rPr>
                <w:sz w:val="24"/>
              </w:rPr>
            </w:r>
          </w:p>
          <w:p>
            <w:pPr>
              <w:pStyle w:val="Normal"/>
              <w:ind w:end="342"/>
              <w:jc w:val="both"/>
              <w:rPr>
                <w:sz w:val="24"/>
              </w:rPr>
            </w:pPr>
            <w:r>
              <w:rPr>
                <w:sz w:val="24"/>
              </w:rPr>
              <w:t>614-883-7742</w:t>
            </w:r>
          </w:p>
          <w:p>
            <w:pPr>
              <w:pStyle w:val="Normal"/>
              <w:ind w:end="342"/>
              <w:jc w:val="both"/>
              <w:rPr>
                <w:sz w:val="24"/>
              </w:rPr>
            </w:pPr>
            <w:hyperlink r:id="rId2">
              <w:r>
                <w:rPr>
                  <w:rStyle w:val="Hyperlink"/>
                  <w:sz w:val="24"/>
                </w:rPr>
                <w:t>jeeyanson@aep.com</w:t>
              </w:r>
            </w:hyperlink>
          </w:p>
          <w:p>
            <w:pPr>
              <w:pStyle w:val="Normal"/>
              <w:ind w:end="342"/>
              <w:jc w:val="both"/>
              <w:rPr>
                <w:sz w:val="24"/>
              </w:rPr>
            </w:pPr>
            <w:r>
              <w:rPr>
                <w:sz w:val="24"/>
              </w:rPr>
              <w:t>614-883-7762</w:t>
            </w:r>
          </w:p>
          <w:p>
            <w:pPr>
              <w:pStyle w:val="Normal"/>
              <w:ind w:end="342"/>
              <w:jc w:val="both"/>
              <w:rPr>
                <w:sz w:val="24"/>
              </w:rPr>
            </w:pPr>
            <w:hyperlink r:id="rId3">
              <w:r>
                <w:rPr>
                  <w:rStyle w:val="Hyperlink"/>
                  <w:sz w:val="24"/>
                </w:rPr>
                <w:t>kjvass@aep.com</w:t>
              </w:r>
            </w:hyperlink>
          </w:p>
          <w:p>
            <w:pPr>
              <w:pStyle w:val="Normal"/>
              <w:ind w:end="342"/>
              <w:jc w:val="both"/>
              <w:rPr>
                <w:sz w:val="24"/>
              </w:rPr>
            </w:pPr>
            <w:r>
              <w:rPr>
                <w:sz w:val="24"/>
              </w:rPr>
            </w:r>
          </w:p>
        </w:tc>
      </w:tr>
      <w:tr>
        <w:trPr/>
        <w:tc>
          <w:tcPr>
            <w:tcW w:w="1771" w:type="dxa"/>
            <w:tcBorders/>
          </w:tcPr>
          <w:p>
            <w:pPr>
              <w:pStyle w:val="Normal"/>
              <w:jc w:val="both"/>
              <w:rPr>
                <w:sz w:val="24"/>
              </w:rPr>
            </w:pPr>
            <w:r>
              <w:rPr>
                <w:b/>
                <w:sz w:val="24"/>
              </w:rPr>
              <w:t>Commodity</w:t>
            </w:r>
          </w:p>
        </w:tc>
        <w:tc>
          <w:tcPr>
            <w:tcW w:w="2657" w:type="dxa"/>
            <w:tcBorders/>
          </w:tcPr>
          <w:p>
            <w:pPr>
              <w:pStyle w:val="Normal"/>
              <w:jc w:val="both"/>
              <w:rPr>
                <w:sz w:val="24"/>
              </w:rPr>
            </w:pPr>
            <w:r>
              <w:rPr>
                <w:sz w:val="24"/>
              </w:rPr>
              <w:t>Electricity</w:t>
            </w:r>
          </w:p>
        </w:tc>
        <w:tc>
          <w:tcPr>
            <w:tcW w:w="270" w:type="dxa"/>
            <w:tcBorders/>
          </w:tcPr>
          <w:p>
            <w:pPr>
              <w:pStyle w:val="Normal"/>
              <w:snapToGrid w:val="false"/>
              <w:jc w:val="both"/>
              <w:rPr>
                <w:sz w:val="24"/>
              </w:rPr>
            </w:pPr>
            <w:r>
              <w:rPr>
                <w:sz w:val="24"/>
              </w:rPr>
            </w:r>
          </w:p>
        </w:tc>
        <w:tc>
          <w:tcPr>
            <w:tcW w:w="2970" w:type="dxa"/>
            <w:tcBorders/>
          </w:tcPr>
          <w:p>
            <w:pPr>
              <w:pStyle w:val="Normal"/>
              <w:tabs>
                <w:tab w:val="clear" w:pos="720"/>
                <w:tab w:val="left" w:pos="1242" w:leader="none"/>
              </w:tabs>
              <w:ind w:start="162" w:end="0"/>
              <w:jc w:val="both"/>
              <w:rPr>
                <w:sz w:val="24"/>
              </w:rPr>
            </w:pPr>
            <w:r>
              <w:rPr>
                <w:sz w:val="24"/>
              </w:rPr>
              <w:t>AEP Provider Support</w:t>
            </w:r>
          </w:p>
          <w:p>
            <w:pPr>
              <w:pStyle w:val="Normal"/>
              <w:tabs>
                <w:tab w:val="clear" w:pos="720"/>
                <w:tab w:val="left" w:pos="1242" w:leader="none"/>
              </w:tabs>
              <w:ind w:start="162" w:end="0"/>
              <w:jc w:val="both"/>
              <w:rPr>
                <w:sz w:val="24"/>
              </w:rPr>
            </w:pPr>
            <w:r>
              <w:rPr>
                <w:sz w:val="24"/>
              </w:rPr>
              <w:t>700 Morrison Road</w:t>
            </w:r>
          </w:p>
          <w:p>
            <w:pPr>
              <w:pStyle w:val="Normal"/>
              <w:tabs>
                <w:tab w:val="clear" w:pos="720"/>
                <w:tab w:val="left" w:pos="1242" w:leader="none"/>
              </w:tabs>
              <w:ind w:start="162" w:end="0"/>
              <w:jc w:val="both"/>
              <w:rPr>
                <w:color w:val="0000FF"/>
                <w:sz w:val="24"/>
              </w:rPr>
            </w:pPr>
            <w:r>
              <w:rPr>
                <w:sz w:val="24"/>
              </w:rPr>
              <w:t>Gahanna, OH  43230</w:t>
            </w:r>
          </w:p>
        </w:tc>
        <w:tc>
          <w:tcPr>
            <w:tcW w:w="2790" w:type="dxa"/>
            <w:tcBorders/>
          </w:tcPr>
          <w:p>
            <w:pPr>
              <w:pStyle w:val="Normal"/>
              <w:ind w:end="342"/>
              <w:rPr>
                <w:sz w:val="24"/>
              </w:rPr>
            </w:pPr>
            <w:r>
              <w:rPr>
                <w:sz w:val="24"/>
              </w:rPr>
              <w:t>Monday-Friday</w:t>
            </w:r>
          </w:p>
          <w:p>
            <w:pPr>
              <w:pStyle w:val="Normal"/>
              <w:ind w:end="342"/>
              <w:rPr>
                <w:sz w:val="24"/>
              </w:rPr>
            </w:pPr>
            <w:r>
              <w:rPr>
                <w:sz w:val="24"/>
              </w:rPr>
              <w:t>8:00 a.m.  – 5:00 p.m.</w:t>
            </w:r>
          </w:p>
          <w:p>
            <w:pPr>
              <w:pStyle w:val="Normal"/>
              <w:ind w:end="342"/>
              <w:rPr>
                <w:sz w:val="24"/>
              </w:rPr>
            </w:pPr>
            <w:r>
              <w:rPr>
                <w:sz w:val="24"/>
              </w:rPr>
              <w:t>Eastern Prevailing Time</w:t>
            </w:r>
          </w:p>
        </w:tc>
      </w:tr>
      <w:tr>
        <w:trPr/>
        <w:tc>
          <w:tcPr>
            <w:tcW w:w="1771" w:type="dxa"/>
            <w:tcBorders/>
          </w:tcPr>
          <w:p>
            <w:pPr>
              <w:pStyle w:val="Normal"/>
              <w:jc w:val="both"/>
              <w:rPr/>
            </w:pPr>
            <w:r>
              <w:rPr>
                <w:b/>
                <w:sz w:val="24"/>
              </w:rPr>
              <w:t>State License</w:t>
            </w:r>
            <w:r>
              <w:rPr>
                <w:sz w:val="24"/>
              </w:rPr>
              <w:t xml:space="preserve"> </w:t>
              <w:tab/>
            </w:r>
          </w:p>
        </w:tc>
        <w:tc>
          <w:tcPr>
            <w:tcW w:w="2657" w:type="dxa"/>
            <w:tcBorders/>
          </w:tcPr>
          <w:p>
            <w:pPr>
              <w:pStyle w:val="Normal"/>
              <w:jc w:val="both"/>
              <w:rPr>
                <w:sz w:val="24"/>
              </w:rPr>
            </w:pPr>
            <w:r>
              <w:rPr>
                <w:sz w:val="24"/>
              </w:rPr>
              <w:t>Yes</w:t>
            </w:r>
          </w:p>
          <w:p>
            <w:pPr>
              <w:pStyle w:val="Normal"/>
              <w:jc w:val="both"/>
              <w:rPr>
                <w:sz w:val="24"/>
              </w:rPr>
            </w:pPr>
            <w:r>
              <w:rPr>
                <w:sz w:val="24"/>
              </w:rPr>
              <w:t xml:space="preserve"> </w:t>
            </w:r>
          </w:p>
        </w:tc>
        <w:tc>
          <w:tcPr>
            <w:tcW w:w="270" w:type="dxa"/>
            <w:tcBorders/>
          </w:tcPr>
          <w:p>
            <w:pPr>
              <w:pStyle w:val="Normal"/>
              <w:snapToGrid w:val="false"/>
              <w:jc w:val="both"/>
              <w:rPr>
                <w:sz w:val="24"/>
              </w:rPr>
            </w:pPr>
            <w:r>
              <w:rPr>
                <w:sz w:val="24"/>
              </w:rPr>
            </w:r>
          </w:p>
        </w:tc>
        <w:tc>
          <w:tcPr>
            <w:tcW w:w="2970" w:type="dxa"/>
            <w:tcBorders/>
          </w:tcPr>
          <w:p>
            <w:pPr>
              <w:pStyle w:val="Normal"/>
              <w:tabs>
                <w:tab w:val="clear" w:pos="720"/>
                <w:tab w:val="left" w:pos="1242" w:leader="none"/>
              </w:tabs>
              <w:ind w:start="162" w:end="0"/>
              <w:jc w:val="both"/>
              <w:rPr>
                <w:color w:val="0000FF"/>
                <w:sz w:val="24"/>
              </w:rPr>
            </w:pPr>
            <w:r>
              <w:rPr>
                <w:color w:val="0000FF"/>
                <w:sz w:val="24"/>
              </w:rPr>
              <w:t>http://www.aep.com/</w:t>
            </w:r>
          </w:p>
        </w:tc>
        <w:tc>
          <w:tcPr>
            <w:tcW w:w="2790" w:type="dxa"/>
            <w:tcBorders/>
          </w:tcPr>
          <w:p>
            <w:pPr>
              <w:pStyle w:val="Normal"/>
              <w:ind w:end="342"/>
              <w:jc w:val="both"/>
              <w:rPr>
                <w:color w:val="0000FF"/>
                <w:sz w:val="24"/>
              </w:rPr>
            </w:pPr>
            <w:hyperlink r:id="rId4">
              <w:r>
                <w:rPr>
                  <w:rStyle w:val="Hyperlink"/>
                  <w:sz w:val="24"/>
                </w:rPr>
                <w:t>http://www.spp.org/</w:t>
              </w:r>
            </w:hyperlink>
          </w:p>
          <w:p>
            <w:pPr>
              <w:pStyle w:val="Normal"/>
              <w:ind w:end="342"/>
              <w:jc w:val="both"/>
              <w:rPr>
                <w:color w:val="0000FF"/>
                <w:sz w:val="24"/>
              </w:rPr>
            </w:pPr>
            <w:r>
              <w:rPr>
                <w:color w:val="0000FF"/>
                <w:sz w:val="24"/>
              </w:rPr>
            </w:r>
          </w:p>
        </w:tc>
      </w:tr>
      <w:tr>
        <w:trPr/>
        <w:tc>
          <w:tcPr>
            <w:tcW w:w="1771" w:type="dxa"/>
            <w:tcBorders/>
          </w:tcPr>
          <w:p>
            <w:pPr>
              <w:pStyle w:val="Normal"/>
              <w:snapToGrid w:val="false"/>
              <w:jc w:val="both"/>
              <w:rPr>
                <w:b/>
                <w:color w:val="0000FF"/>
                <w:sz w:val="24"/>
              </w:rPr>
            </w:pPr>
            <w:r>
              <w:rPr>
                <w:b/>
                <w:color w:val="0000FF"/>
                <w:sz w:val="24"/>
              </w:rPr>
            </w:r>
          </w:p>
        </w:tc>
        <w:tc>
          <w:tcPr>
            <w:tcW w:w="2657" w:type="dxa"/>
            <w:tcBorders/>
          </w:tcPr>
          <w:p>
            <w:pPr>
              <w:pStyle w:val="Normal"/>
              <w:snapToGrid w:val="false"/>
              <w:jc w:val="both"/>
              <w:rPr>
                <w:b/>
                <w:sz w:val="24"/>
              </w:rPr>
            </w:pPr>
            <w:r>
              <w:rPr>
                <w:b/>
                <w:sz w:val="24"/>
              </w:rPr>
            </w:r>
          </w:p>
        </w:tc>
        <w:tc>
          <w:tcPr>
            <w:tcW w:w="270" w:type="dxa"/>
            <w:tcBorders/>
          </w:tcPr>
          <w:p>
            <w:pPr>
              <w:pStyle w:val="Normal"/>
              <w:snapToGrid w:val="false"/>
              <w:jc w:val="both"/>
              <w:rPr>
                <w:sz w:val="24"/>
              </w:rPr>
            </w:pPr>
            <w:r>
              <w:rPr>
                <w:sz w:val="24"/>
              </w:rPr>
            </w:r>
          </w:p>
        </w:tc>
        <w:tc>
          <w:tcPr>
            <w:tcW w:w="2970" w:type="dxa"/>
            <w:tcBorders/>
          </w:tcPr>
          <w:p>
            <w:pPr>
              <w:pStyle w:val="Normal"/>
              <w:ind w:start="162" w:end="0"/>
              <w:jc w:val="both"/>
              <w:rPr>
                <w:color w:val="0000FF"/>
                <w:sz w:val="24"/>
              </w:rPr>
            </w:pPr>
            <w:r>
              <w:rPr>
                <w:color w:val="0000FF"/>
                <w:sz w:val="24"/>
              </w:rPr>
              <w:t>http://www.puc.state.tx.us/</w:t>
            </w:r>
          </w:p>
        </w:tc>
        <w:tc>
          <w:tcPr>
            <w:tcW w:w="2790" w:type="dxa"/>
            <w:tcBorders/>
          </w:tcPr>
          <w:p>
            <w:pPr>
              <w:pStyle w:val="Normal"/>
              <w:ind w:end="342"/>
              <w:jc w:val="both"/>
              <w:rPr>
                <w:color w:val="0000FF"/>
                <w:sz w:val="24"/>
              </w:rPr>
            </w:pPr>
            <w:r>
              <w:rPr>
                <w:color w:val="0000FF"/>
                <w:sz w:val="24"/>
              </w:rPr>
              <w:t>http://www.ercot.com/</w:t>
            </w:r>
          </w:p>
        </w:tc>
      </w:tr>
      <w:tr>
        <w:trPr/>
        <w:tc>
          <w:tcPr>
            <w:tcW w:w="1771" w:type="dxa"/>
            <w:tcBorders/>
          </w:tcPr>
          <w:p>
            <w:pPr>
              <w:pStyle w:val="Normal"/>
              <w:snapToGrid w:val="false"/>
              <w:jc w:val="both"/>
              <w:rPr>
                <w:b/>
                <w:color w:val="0000FF"/>
                <w:sz w:val="24"/>
              </w:rPr>
            </w:pPr>
            <w:r>
              <w:rPr>
                <w:b/>
                <w:color w:val="0000FF"/>
                <w:sz w:val="24"/>
              </w:rPr>
            </w:r>
          </w:p>
        </w:tc>
        <w:tc>
          <w:tcPr>
            <w:tcW w:w="2657" w:type="dxa"/>
            <w:tcBorders/>
          </w:tcPr>
          <w:p>
            <w:pPr>
              <w:pStyle w:val="Normal"/>
              <w:snapToGrid w:val="false"/>
              <w:jc w:val="both"/>
              <w:rPr>
                <w:b/>
                <w:sz w:val="24"/>
              </w:rPr>
            </w:pPr>
            <w:r>
              <w:rPr>
                <w:b/>
                <w:sz w:val="24"/>
              </w:rPr>
            </w:r>
          </w:p>
        </w:tc>
        <w:tc>
          <w:tcPr>
            <w:tcW w:w="270" w:type="dxa"/>
            <w:tcBorders/>
          </w:tcPr>
          <w:p>
            <w:pPr>
              <w:pStyle w:val="Normal"/>
              <w:snapToGrid w:val="false"/>
              <w:jc w:val="both"/>
              <w:rPr>
                <w:sz w:val="24"/>
              </w:rPr>
            </w:pPr>
            <w:r>
              <w:rPr>
                <w:sz w:val="24"/>
              </w:rPr>
            </w:r>
          </w:p>
        </w:tc>
        <w:tc>
          <w:tcPr>
            <w:tcW w:w="2970" w:type="dxa"/>
            <w:tcBorders/>
          </w:tcPr>
          <w:p>
            <w:pPr>
              <w:pStyle w:val="Heading6"/>
              <w:snapToGrid w:val="false"/>
              <w:ind w:hanging="0" w:start="162" w:end="0"/>
              <w:rPr>
                <w:sz w:val="24"/>
              </w:rPr>
            </w:pPr>
            <w:r>
              <w:rPr>
                <w:sz w:val="24"/>
              </w:rPr>
            </w:r>
          </w:p>
        </w:tc>
        <w:tc>
          <w:tcPr>
            <w:tcW w:w="2790" w:type="dxa"/>
            <w:tcBorders/>
          </w:tcPr>
          <w:p>
            <w:pPr>
              <w:pStyle w:val="Normal"/>
              <w:snapToGrid w:val="false"/>
              <w:ind w:end="342"/>
              <w:jc w:val="both"/>
              <w:rPr>
                <w:color w:val="0000FF"/>
                <w:sz w:val="24"/>
              </w:rPr>
            </w:pPr>
            <w:r>
              <w:rPr>
                <w:color w:val="0000FF"/>
                <w:sz w:val="24"/>
              </w:rPr>
            </w:r>
          </w:p>
        </w:tc>
      </w:tr>
    </w:tbl>
    <w:p>
      <w:pPr>
        <w:pStyle w:val="Normal"/>
        <w:jc w:val="both"/>
        <w:rPr>
          <w:sz w:val="24"/>
        </w:rPr>
      </w:pPr>
      <w:r>
        <w:rPr>
          <w:sz w:val="24"/>
        </w:rPr>
      </w:r>
    </w:p>
    <w:p>
      <w:pPr>
        <w:pStyle w:val="Heading2"/>
        <w:ind w:hanging="0" w:start="0"/>
        <w:jc w:val="both"/>
        <w:rPr>
          <w:u w:val="single"/>
        </w:rPr>
      </w:pPr>
      <w:r>
        <w:rPr>
          <w:u w:val="single"/>
        </w:rPr>
        <w:t xml:space="preserve">Market Specifics  </w:t>
      </w:r>
    </w:p>
    <w:p>
      <w:pPr>
        <w:pStyle w:val="BodyText2"/>
        <w:ind w:end="-864"/>
        <w:jc w:val="both"/>
        <w:rPr/>
      </w:pPr>
      <w:r>
        <w:rPr/>
        <w:t>The right to choose a Competitive Retailer will begin January 1, 2002.</w:t>
      </w:r>
    </w:p>
    <w:p>
      <w:pPr>
        <w:pStyle w:val="BodyText2"/>
        <w:ind w:end="-864"/>
        <w:jc w:val="both"/>
        <w:rPr/>
      </w:pPr>
      <w:r>
        <w:rPr/>
        <w:t xml:space="preserve">September 1, 2001 – Mass customer lists will be issued by the utility on or before September 1, 2001.  The list will contain the name, billing address, rate classification, monthly usage for the most recent 12-month period, meter type and ESI ID.  All customers eligible for the price to beat will be included on this list except for customers that opt not to be included.  This list will be developed by each TDSP and made available to the PUCT for distribution to all registered suppliers and aggregators at no charge.  The supplier will not use this list for anything but marketing electric services and verifying a customer's authorized selection of a Competitive Retailer prior to submission of the customer’s enrollment to the registration agent. </w:t>
      </w:r>
    </w:p>
    <w:p>
      <w:pPr>
        <w:pStyle w:val="BodyText2"/>
        <w:ind w:end="-864"/>
        <w:jc w:val="both"/>
        <w:rPr/>
      </w:pPr>
      <w:r>
        <w:rPr/>
      </w:r>
    </w:p>
    <w:p>
      <w:pPr>
        <w:pStyle w:val="Heading2"/>
        <w:ind w:hanging="0" w:start="0"/>
        <w:jc w:val="both"/>
        <w:rPr>
          <w:u w:val="single"/>
        </w:rPr>
      </w:pPr>
      <w:r>
        <w:rPr>
          <w:u w:val="single"/>
        </w:rPr>
        <w:t xml:space="preserve">Definitions/Acronyms  </w:t>
      </w:r>
    </w:p>
    <w:p>
      <w:pPr>
        <w:pStyle w:val="Normal"/>
        <w:numPr>
          <w:ilvl w:val="0"/>
          <w:numId w:val="8"/>
        </w:numPr>
        <w:tabs>
          <w:tab w:val="clear" w:pos="720"/>
          <w:tab w:val="left" w:pos="360" w:leader="none"/>
        </w:tabs>
        <w:ind w:hanging="360" w:start="360" w:end="0"/>
        <w:rPr>
          <w:sz w:val="24"/>
        </w:rPr>
      </w:pPr>
      <w:r>
        <w:rPr>
          <w:sz w:val="24"/>
        </w:rPr>
        <w:t>Affiliated Retail Electric Provider (AREP) – A retail electric provider that is affiliated with or the successor in interest of an electric utility certificated to serve an area.</w:t>
      </w:r>
    </w:p>
    <w:p>
      <w:pPr>
        <w:pStyle w:val="Normal"/>
        <w:numPr>
          <w:ilvl w:val="0"/>
          <w:numId w:val="8"/>
        </w:numPr>
        <w:tabs>
          <w:tab w:val="clear" w:pos="720"/>
          <w:tab w:val="left" w:pos="360" w:leader="none"/>
        </w:tabs>
        <w:ind w:hanging="360" w:start="360" w:end="0"/>
        <w:rPr>
          <w:sz w:val="24"/>
        </w:rPr>
      </w:pPr>
      <w:r>
        <w:rPr>
          <w:sz w:val="24"/>
        </w:rPr>
        <w:t>Cogeneration – The use of steam, both to heat adjoining buildings and run turbines, to generate electric power.  Competition Transition Charge (CTCs) – Non-bypassable charges (cannot be avoided) created by a regulatory order of law. They are being used by a number of states to fund environmental protection, energy conservation, and social programs, in addition to serving as a mechanism for transition cost recovery.  CTCs also represent a reliable revenue stream against which bonds or securities can be issued.</w:t>
      </w:r>
    </w:p>
    <w:p>
      <w:pPr>
        <w:pStyle w:val="Normal"/>
        <w:numPr>
          <w:ilvl w:val="0"/>
          <w:numId w:val="8"/>
        </w:numPr>
        <w:tabs>
          <w:tab w:val="clear" w:pos="720"/>
          <w:tab w:val="left" w:pos="360" w:leader="none"/>
        </w:tabs>
        <w:ind w:hanging="360" w:start="360" w:end="0"/>
        <w:rPr>
          <w:sz w:val="24"/>
        </w:rPr>
      </w:pPr>
      <w:r>
        <w:rPr>
          <w:sz w:val="24"/>
        </w:rPr>
        <w:t>Competitive Retailer (CR) – A Retail Electric Provider, or a Municipally Owned Utility, or an Electric Cooperative that offers customer choice in the restructured competitive electric power market or any other entity authorized to provide Electric Power and Energy in Texas.  A Municipally Owned Utility or an Electric Cooperative is only considered a Competitive Retailer where it sells retail Electric Power and Energy outside its certified service territory.</w:t>
      </w:r>
    </w:p>
    <w:p>
      <w:pPr>
        <w:pStyle w:val="Normal"/>
        <w:numPr>
          <w:ilvl w:val="0"/>
          <w:numId w:val="8"/>
        </w:numPr>
        <w:tabs>
          <w:tab w:val="clear" w:pos="720"/>
          <w:tab w:val="left" w:pos="360" w:leader="none"/>
        </w:tabs>
        <w:ind w:hanging="360" w:start="360" w:end="0"/>
        <w:rPr>
          <w:sz w:val="24"/>
        </w:rPr>
      </w:pPr>
      <w:r>
        <w:rPr>
          <w:sz w:val="24"/>
        </w:rPr>
        <w:t>Construction Service – Services related to the construction, extension, installation, modification, repair, upgrade, conversion, relocation, or removal of TDSP facilities, including temporary facilities.</w:t>
      </w:r>
    </w:p>
    <w:p>
      <w:pPr>
        <w:pStyle w:val="Normal"/>
        <w:numPr>
          <w:ilvl w:val="0"/>
          <w:numId w:val="8"/>
        </w:numPr>
        <w:tabs>
          <w:tab w:val="clear" w:pos="720"/>
          <w:tab w:val="left" w:pos="360" w:leader="none"/>
        </w:tabs>
        <w:ind w:hanging="360" w:start="360" w:end="0"/>
        <w:rPr>
          <w:sz w:val="24"/>
        </w:rPr>
      </w:pPr>
      <w:r>
        <w:rPr>
          <w:sz w:val="24"/>
        </w:rPr>
        <w:t>Construction Service Charge – Commission authorized charges to recover costs associated with Construction Services.</w:t>
      </w:r>
    </w:p>
    <w:p>
      <w:pPr>
        <w:pStyle w:val="Normal"/>
        <w:numPr>
          <w:ilvl w:val="0"/>
          <w:numId w:val="8"/>
        </w:numPr>
        <w:tabs>
          <w:tab w:val="clear" w:pos="720"/>
          <w:tab w:val="left" w:pos="360" w:leader="none"/>
        </w:tabs>
        <w:ind w:hanging="360" w:start="360" w:end="0"/>
        <w:rPr>
          <w:sz w:val="24"/>
        </w:rPr>
      </w:pPr>
      <w:r>
        <w:rPr>
          <w:sz w:val="24"/>
        </w:rPr>
        <w:t>Discretionary Charges – Commission authorized charges to recover costs associated with Discretionary Services.</w:t>
      </w:r>
    </w:p>
    <w:p>
      <w:pPr>
        <w:pStyle w:val="Normal"/>
        <w:numPr>
          <w:ilvl w:val="0"/>
          <w:numId w:val="8"/>
        </w:numPr>
        <w:tabs>
          <w:tab w:val="clear" w:pos="720"/>
          <w:tab w:val="left" w:pos="360" w:leader="none"/>
        </w:tabs>
        <w:ind w:hanging="360" w:start="360" w:end="0"/>
        <w:rPr>
          <w:sz w:val="24"/>
        </w:rPr>
      </w:pPr>
      <w:r>
        <w:rPr>
          <w:sz w:val="24"/>
        </w:rPr>
        <w:t>Discretionary Services  - Customer Specific services for which costs are recovered through separately priced Rate Schedules.</w:t>
      </w:r>
    </w:p>
    <w:p>
      <w:pPr>
        <w:pStyle w:val="Normal"/>
        <w:numPr>
          <w:ilvl w:val="0"/>
          <w:numId w:val="8"/>
        </w:numPr>
        <w:tabs>
          <w:tab w:val="clear" w:pos="720"/>
          <w:tab w:val="left" w:pos="360" w:leader="none"/>
        </w:tabs>
        <w:ind w:hanging="360" w:start="360" w:end="0"/>
        <w:rPr>
          <w:sz w:val="24"/>
        </w:rPr>
      </w:pPr>
      <w:r>
        <w:rPr>
          <w:sz w:val="24"/>
        </w:rPr>
        <w:t>Distribution Company/Utility – A utility regulated by the state, which delivers electricity to the final (retail) customer.  Under regulation, many utilities provided generation, transmission, and distribution of electricity as a bundled service. In some states, policymakers required some utilities to separate generation, which will be unregulated, from transmission and distribution, which will remain regulated.  Consumers will continue to receive power through their distribution utility.</w:t>
      </w:r>
    </w:p>
    <w:p>
      <w:pPr>
        <w:pStyle w:val="Normal"/>
        <w:numPr>
          <w:ilvl w:val="0"/>
          <w:numId w:val="8"/>
        </w:numPr>
        <w:tabs>
          <w:tab w:val="clear" w:pos="720"/>
          <w:tab w:val="left" w:pos="360" w:leader="none"/>
        </w:tabs>
        <w:ind w:hanging="360" w:start="360" w:end="0"/>
        <w:rPr>
          <w:sz w:val="24"/>
        </w:rPr>
      </w:pPr>
      <w:r>
        <w:rPr>
          <w:sz w:val="24"/>
        </w:rPr>
        <w:t>Electronic Data Interchange (EDI) – A common means of transferring data between computers at different locations through networked linkage.</w:t>
      </w:r>
    </w:p>
    <w:p>
      <w:pPr>
        <w:pStyle w:val="Normal"/>
        <w:numPr>
          <w:ilvl w:val="0"/>
          <w:numId w:val="8"/>
        </w:numPr>
        <w:tabs>
          <w:tab w:val="clear" w:pos="720"/>
          <w:tab w:val="left" w:pos="360" w:leader="none"/>
        </w:tabs>
        <w:ind w:hanging="360" w:start="360" w:end="0"/>
        <w:rPr>
          <w:sz w:val="24"/>
        </w:rPr>
      </w:pPr>
      <w:r>
        <w:rPr>
          <w:sz w:val="24"/>
        </w:rPr>
        <w:t>Electric Power and Energy – The KWH, the rate of delivery of KWH, and ancillary services related to KWH that a Competitive Retailer provides to Retail Customers.</w:t>
      </w:r>
    </w:p>
    <w:p>
      <w:pPr>
        <w:pStyle w:val="Normal"/>
        <w:numPr>
          <w:ilvl w:val="0"/>
          <w:numId w:val="8"/>
        </w:numPr>
        <w:tabs>
          <w:tab w:val="clear" w:pos="720"/>
          <w:tab w:val="left" w:pos="360" w:leader="none"/>
        </w:tabs>
        <w:ind w:hanging="360" w:start="360" w:end="0"/>
        <w:rPr>
          <w:sz w:val="24"/>
        </w:rPr>
      </w:pPr>
      <w:r>
        <w:rPr>
          <w:sz w:val="24"/>
        </w:rPr>
        <w:t>Electric Service Identifier (ESI ID) – The basic identifier assigned to each Point of Delivery used in the registration system and settlement system managed by ERCOT or another Independent Organization.</w:t>
      </w:r>
    </w:p>
    <w:p>
      <w:pPr>
        <w:pStyle w:val="Normal"/>
        <w:numPr>
          <w:ilvl w:val="0"/>
          <w:numId w:val="8"/>
        </w:numPr>
        <w:tabs>
          <w:tab w:val="clear" w:pos="720"/>
          <w:tab w:val="left" w:pos="360" w:leader="none"/>
        </w:tabs>
        <w:ind w:hanging="360" w:start="360" w:end="0"/>
        <w:rPr>
          <w:sz w:val="24"/>
        </w:rPr>
      </w:pPr>
      <w:r>
        <w:rPr>
          <w:sz w:val="24"/>
        </w:rPr>
        <w:t>ERCOT – The Electric Reliability Council of Texas, Inc.</w:t>
      </w:r>
    </w:p>
    <w:p>
      <w:pPr>
        <w:pStyle w:val="Normal"/>
        <w:numPr>
          <w:ilvl w:val="0"/>
          <w:numId w:val="8"/>
        </w:numPr>
        <w:tabs>
          <w:tab w:val="clear" w:pos="720"/>
          <w:tab w:val="left" w:pos="360" w:leader="none"/>
        </w:tabs>
        <w:ind w:hanging="360" w:start="360" w:end="0"/>
        <w:rPr>
          <w:sz w:val="24"/>
        </w:rPr>
      </w:pPr>
      <w:r>
        <w:rPr>
          <w:sz w:val="24"/>
        </w:rPr>
        <w:t>Load Profiling – The study of the consumption habits of consumers to estimate the amount of power they use at various times of the day and for which they are billed.  Load profiling is an alternative to precise metering.</w:t>
      </w:r>
    </w:p>
    <w:p>
      <w:pPr>
        <w:pStyle w:val="Normal"/>
        <w:numPr>
          <w:ilvl w:val="0"/>
          <w:numId w:val="8"/>
        </w:numPr>
        <w:tabs>
          <w:tab w:val="clear" w:pos="720"/>
          <w:tab w:val="left" w:pos="360" w:leader="none"/>
        </w:tabs>
        <w:ind w:hanging="360" w:start="360" w:end="0"/>
        <w:rPr>
          <w:sz w:val="24"/>
        </w:rPr>
      </w:pPr>
      <w:r>
        <w:rPr>
          <w:sz w:val="24"/>
        </w:rPr>
        <w:t>Open Access Same-Time Information System (OASIS) – An electronic information system that allows users to instantly receive data on the current operating status and transmission capacity of a transmission provider.  FERC established standards for OASIS in Order 889.  Examples of the type of information that might be available on a transmission system OASIS include: availability of transmission services; hourly transfer capacities between control areas; hourly amount of firm and non-firm power scheduled at various points; current outage information; load flow data; current requests for transmission service; and secondary market information regarding capacity rights that customers wish to resell.</w:t>
      </w:r>
    </w:p>
    <w:p>
      <w:pPr>
        <w:pStyle w:val="Normal"/>
        <w:numPr>
          <w:ilvl w:val="0"/>
          <w:numId w:val="8"/>
        </w:numPr>
        <w:tabs>
          <w:tab w:val="clear" w:pos="720"/>
          <w:tab w:val="left" w:pos="360" w:leader="none"/>
        </w:tabs>
        <w:ind w:hanging="360" w:start="360" w:end="0"/>
        <w:rPr>
          <w:sz w:val="24"/>
        </w:rPr>
      </w:pPr>
      <w:r>
        <w:rPr>
          <w:sz w:val="24"/>
        </w:rPr>
        <w:t>OATT – Open Access Transmission Tariff</w:t>
      </w:r>
    </w:p>
    <w:p>
      <w:pPr>
        <w:pStyle w:val="Normal"/>
        <w:numPr>
          <w:ilvl w:val="0"/>
          <w:numId w:val="8"/>
        </w:numPr>
        <w:tabs>
          <w:tab w:val="clear" w:pos="720"/>
          <w:tab w:val="left" w:pos="360" w:leader="none"/>
        </w:tabs>
        <w:ind w:hanging="360" w:start="360" w:end="0"/>
        <w:rPr>
          <w:sz w:val="24"/>
        </w:rPr>
      </w:pPr>
      <w:r>
        <w:rPr>
          <w:sz w:val="24"/>
        </w:rPr>
        <w:t>Point of Delivery – The point at which Electric Power and Energy leaves TDSP’s Delivery System.</w:t>
      </w:r>
    </w:p>
    <w:p>
      <w:pPr>
        <w:pStyle w:val="Normal"/>
        <w:numPr>
          <w:ilvl w:val="0"/>
          <w:numId w:val="8"/>
        </w:numPr>
        <w:tabs>
          <w:tab w:val="clear" w:pos="720"/>
          <w:tab w:val="left" w:pos="360" w:leader="none"/>
        </w:tabs>
        <w:ind w:hanging="360" w:start="360" w:end="0"/>
        <w:rPr>
          <w:sz w:val="24"/>
        </w:rPr>
      </w:pPr>
      <w:r>
        <w:rPr>
          <w:sz w:val="24"/>
        </w:rPr>
        <w:t>Point of Supply – The point at which Electric Power and Energy enters TDSP’s Delivery System.</w:t>
      </w:r>
    </w:p>
    <w:p>
      <w:pPr>
        <w:pStyle w:val="Normal"/>
        <w:numPr>
          <w:ilvl w:val="0"/>
          <w:numId w:val="8"/>
        </w:numPr>
        <w:tabs>
          <w:tab w:val="clear" w:pos="720"/>
          <w:tab w:val="left" w:pos="360" w:leader="none"/>
        </w:tabs>
        <w:ind w:hanging="360" w:start="360" w:end="0"/>
        <w:rPr>
          <w:sz w:val="24"/>
        </w:rPr>
      </w:pPr>
      <w:r>
        <w:rPr>
          <w:sz w:val="24"/>
        </w:rPr>
        <w:t>Provider of Last Resort (POLR) – A Competitive Retailer  certified in Texas that has been designated by the Commission to provide a basic, standard retail service package to requesting or default customers.</w:t>
      </w:r>
    </w:p>
    <w:p>
      <w:pPr>
        <w:pStyle w:val="Normal"/>
        <w:numPr>
          <w:ilvl w:val="0"/>
          <w:numId w:val="8"/>
        </w:numPr>
        <w:tabs>
          <w:tab w:val="clear" w:pos="720"/>
          <w:tab w:val="left" w:pos="360" w:leader="none"/>
        </w:tabs>
        <w:ind w:hanging="360" w:start="360" w:end="0"/>
        <w:rPr>
          <w:sz w:val="24"/>
        </w:rPr>
      </w:pPr>
      <w:r>
        <w:rPr>
          <w:sz w:val="24"/>
        </w:rPr>
        <w:t>Regional Transmission Organization (RTO) – Any of several forms of an entity that manages or operates all or part of an electric supply system.  The entity may be different or have separate management from the owners of transmission and/or generation.  RTOs include Independent System Operators (ISOs), Transmission Companies (Transcos), Independent Transmission Companies (ITCs), and Independent System Administrators (ISAs).  FERC’s goal, under Order 2000, is to have RTOs operational b December 15, 2001.</w:t>
      </w:r>
    </w:p>
    <w:p>
      <w:pPr>
        <w:pStyle w:val="Normal"/>
        <w:numPr>
          <w:ilvl w:val="0"/>
          <w:numId w:val="8"/>
        </w:numPr>
        <w:tabs>
          <w:tab w:val="clear" w:pos="720"/>
          <w:tab w:val="left" w:pos="360" w:leader="none"/>
        </w:tabs>
        <w:ind w:hanging="360" w:start="360" w:end="0"/>
        <w:rPr>
          <w:sz w:val="24"/>
        </w:rPr>
      </w:pPr>
      <w:r>
        <w:rPr>
          <w:sz w:val="24"/>
        </w:rPr>
        <w:t xml:space="preserve">Registration Agent – Entity designated by the Commission to administer settlement and premise data and other processes (ERCOT) concerning a Retail Customer’s choice of Competitive Retailer in the competitive retail electric market in Texas. </w:t>
      </w:r>
    </w:p>
    <w:p>
      <w:pPr>
        <w:pStyle w:val="Normal"/>
        <w:numPr>
          <w:ilvl w:val="0"/>
          <w:numId w:val="8"/>
        </w:numPr>
        <w:tabs>
          <w:tab w:val="clear" w:pos="720"/>
          <w:tab w:val="left" w:pos="360" w:leader="none"/>
        </w:tabs>
        <w:ind w:hanging="360" w:start="360" w:end="0"/>
        <w:rPr>
          <w:sz w:val="24"/>
        </w:rPr>
      </w:pPr>
      <w:r>
        <w:rPr>
          <w:sz w:val="24"/>
        </w:rPr>
        <w:t>Reliability – The ability to deliver uninterrupted electricity to customers on demand, and to withstand sudden disturbances such as short circuits or loss of major system components.  This encompasses both the reliability of the generation system and of the transmission and distribution system.  Reliability may be evaluated by the frequency, duration, and magnitude of any adverse effects on consumer service.</w:t>
      </w:r>
    </w:p>
    <w:p>
      <w:pPr>
        <w:pStyle w:val="Normal"/>
        <w:numPr>
          <w:ilvl w:val="0"/>
          <w:numId w:val="8"/>
        </w:numPr>
        <w:tabs>
          <w:tab w:val="clear" w:pos="720"/>
          <w:tab w:val="left" w:pos="360" w:leader="none"/>
        </w:tabs>
        <w:ind w:hanging="360" w:start="360" w:end="0"/>
        <w:rPr>
          <w:sz w:val="24"/>
        </w:rPr>
      </w:pPr>
      <w:r>
        <w:rPr>
          <w:sz w:val="24"/>
        </w:rPr>
        <w:t>Retail Customer – An end-use customer who purchases Electric Power and Energy and ultimately consumes it.  Whenever used in the context of construction Services, the term Retail Customer also includes property owners, builders, developers, contractors, governmental entities, or any other organization, entity or individual that is not a Competitive Retailer making a request for such services to the TDSP.  Also referred to as end-use customers.</w:t>
      </w:r>
    </w:p>
    <w:p>
      <w:pPr>
        <w:pStyle w:val="Normal"/>
        <w:numPr>
          <w:ilvl w:val="0"/>
          <w:numId w:val="8"/>
        </w:numPr>
        <w:tabs>
          <w:tab w:val="clear" w:pos="720"/>
          <w:tab w:val="left" w:pos="360" w:leader="none"/>
        </w:tabs>
        <w:ind w:hanging="360" w:start="360" w:end="0"/>
        <w:rPr>
          <w:sz w:val="24"/>
        </w:rPr>
      </w:pPr>
      <w:r>
        <w:rPr>
          <w:sz w:val="24"/>
        </w:rPr>
        <w:t>Retail Electric Provider (REP) – Independent competitive company or entity, created by Texas Senate Bill 7, that sells electricity and other customer services to Texas retail customers.</w:t>
      </w:r>
    </w:p>
    <w:p>
      <w:pPr>
        <w:pStyle w:val="Normal"/>
        <w:numPr>
          <w:ilvl w:val="0"/>
          <w:numId w:val="8"/>
        </w:numPr>
        <w:tabs>
          <w:tab w:val="clear" w:pos="720"/>
          <w:tab w:val="left" w:pos="360" w:leader="none"/>
        </w:tabs>
        <w:ind w:hanging="360" w:start="360" w:end="0"/>
        <w:rPr>
          <w:sz w:val="24"/>
        </w:rPr>
      </w:pPr>
      <w:r>
        <w:rPr>
          <w:sz w:val="24"/>
        </w:rPr>
        <w:t>Service Agreement – Any commission-approved agreement between TDSP and a Retail Customer or between TDSP and a Competitive Retailer, which sets forth certain information, terms, obligations and/or conditions of Delivery Service.</w:t>
      </w:r>
    </w:p>
    <w:p>
      <w:pPr>
        <w:pStyle w:val="Normal"/>
        <w:numPr>
          <w:ilvl w:val="0"/>
          <w:numId w:val="8"/>
        </w:numPr>
        <w:tabs>
          <w:tab w:val="clear" w:pos="720"/>
          <w:tab w:val="left" w:pos="360" w:leader="none"/>
        </w:tabs>
        <w:ind w:hanging="360" w:start="360" w:end="0"/>
        <w:rPr>
          <w:sz w:val="24"/>
        </w:rPr>
      </w:pPr>
      <w:r>
        <w:rPr>
          <w:sz w:val="24"/>
        </w:rPr>
        <w:t>Service Call – The dispatch of a TDSP representative to a Delivery Service address for investigation of a complete or partial service outage, irregularity or interruption.</w:t>
      </w:r>
    </w:p>
    <w:p>
      <w:pPr>
        <w:pStyle w:val="Normal"/>
        <w:numPr>
          <w:ilvl w:val="0"/>
          <w:numId w:val="8"/>
        </w:numPr>
        <w:tabs>
          <w:tab w:val="clear" w:pos="720"/>
          <w:tab w:val="left" w:pos="360" w:leader="none"/>
        </w:tabs>
        <w:ind w:hanging="360" w:start="360" w:end="0"/>
        <w:rPr>
          <w:sz w:val="24"/>
        </w:rPr>
      </w:pPr>
      <w:r>
        <w:rPr>
          <w:sz w:val="24"/>
        </w:rPr>
        <w:t>SET – A Standard Electronic Transaction as defined by the protocols adopted by the Commission or the Independent Organization.</w:t>
      </w:r>
    </w:p>
    <w:p>
      <w:pPr>
        <w:pStyle w:val="Normal"/>
        <w:numPr>
          <w:ilvl w:val="0"/>
          <w:numId w:val="8"/>
        </w:numPr>
        <w:tabs>
          <w:tab w:val="clear" w:pos="720"/>
          <w:tab w:val="left" w:pos="360" w:leader="none"/>
        </w:tabs>
        <w:ind w:hanging="360" w:start="360" w:end="0"/>
        <w:rPr>
          <w:sz w:val="24"/>
        </w:rPr>
      </w:pPr>
      <w:r>
        <w:rPr>
          <w:sz w:val="24"/>
        </w:rPr>
        <w:t>Settlement – The process of “settling”, or paying, the transmission company for their services.</w:t>
      </w:r>
    </w:p>
    <w:p>
      <w:pPr>
        <w:pStyle w:val="Normal"/>
        <w:numPr>
          <w:ilvl w:val="0"/>
          <w:numId w:val="8"/>
        </w:numPr>
        <w:tabs>
          <w:tab w:val="clear" w:pos="720"/>
          <w:tab w:val="left" w:pos="360" w:leader="none"/>
        </w:tabs>
        <w:ind w:hanging="360" w:start="360" w:end="0"/>
        <w:rPr>
          <w:sz w:val="24"/>
        </w:rPr>
      </w:pPr>
      <w:r>
        <w:rPr>
          <w:sz w:val="24"/>
        </w:rPr>
        <w:t>SPP – Southwest Power Pool</w:t>
      </w:r>
    </w:p>
    <w:p>
      <w:pPr>
        <w:pStyle w:val="Normal"/>
        <w:numPr>
          <w:ilvl w:val="0"/>
          <w:numId w:val="8"/>
        </w:numPr>
        <w:tabs>
          <w:tab w:val="clear" w:pos="720"/>
          <w:tab w:val="left" w:pos="360" w:leader="none"/>
        </w:tabs>
        <w:ind w:hanging="360" w:start="360" w:end="0"/>
        <w:rPr>
          <w:sz w:val="24"/>
        </w:rPr>
      </w:pPr>
      <w:r>
        <w:rPr>
          <w:sz w:val="24"/>
        </w:rPr>
        <w:t>Tariff – The document filed with, and approved by, the PUC pursuant to which Company provides Delivery Service. It is comprised of Rate Schedules, Riders, and service rules and regulations.  The service rules and regulations include definitions, terms and conditions, policies and Service Agreements.</w:t>
      </w:r>
    </w:p>
    <w:p>
      <w:pPr>
        <w:pStyle w:val="Normal"/>
        <w:numPr>
          <w:ilvl w:val="0"/>
          <w:numId w:val="8"/>
        </w:numPr>
        <w:tabs>
          <w:tab w:val="clear" w:pos="720"/>
          <w:tab w:val="left" w:pos="360" w:leader="none"/>
        </w:tabs>
        <w:ind w:hanging="360" w:start="360" w:end="0"/>
        <w:rPr>
          <w:sz w:val="24"/>
        </w:rPr>
      </w:pPr>
      <w:r>
        <w:rPr>
          <w:sz w:val="24"/>
        </w:rPr>
        <w:t xml:space="preserve">Unaccounted for Energy (UFE) – That amount of energy that the transmission company records as having been transmitted through the transmission lines but the distribution companies do not record as having used.  It could be due to theft, miscalculation, errors in load profiling, etc. </w:t>
      </w:r>
    </w:p>
    <w:p>
      <w:pPr>
        <w:pStyle w:val="Normal"/>
        <w:rPr>
          <w:sz w:val="24"/>
        </w:rPr>
      </w:pPr>
      <w:r>
        <w:rPr>
          <w:sz w:val="24"/>
        </w:rPr>
      </w:r>
    </w:p>
    <w:p>
      <w:pPr>
        <w:pStyle w:val="Normal"/>
        <w:rPr>
          <w:sz w:val="24"/>
        </w:rPr>
      </w:pPr>
      <w:r>
        <w:rPr>
          <w:sz w:val="24"/>
        </w:rPr>
        <w:t xml:space="preserve">  </w:t>
      </w:r>
    </w:p>
    <w:p>
      <w:pPr>
        <w:pStyle w:val="Heading2"/>
        <w:ind w:hanging="0" w:start="0" w:end="-864"/>
        <w:jc w:val="both"/>
        <w:rPr>
          <w:u w:val="single"/>
        </w:rPr>
      </w:pPr>
      <w:r>
        <w:rPr>
          <w:u w:val="single"/>
        </w:rPr>
        <w:t>Provider Registration and Certification Requirements</w:t>
      </w:r>
    </w:p>
    <w:p>
      <w:pPr>
        <w:pStyle w:val="Normal"/>
        <w:numPr>
          <w:ilvl w:val="0"/>
          <w:numId w:val="4"/>
        </w:numPr>
        <w:rPr>
          <w:sz w:val="24"/>
        </w:rPr>
      </w:pPr>
      <w:r>
        <w:rPr>
          <w:sz w:val="24"/>
        </w:rPr>
        <w:t>Register with the Public Utility Commission of Texas</w:t>
      </w:r>
    </w:p>
    <w:p>
      <w:pPr>
        <w:pStyle w:val="BodyText2"/>
        <w:tabs>
          <w:tab w:val="clear" w:pos="720"/>
          <w:tab w:val="left" w:pos="360" w:leader="none"/>
        </w:tabs>
        <w:rPr/>
      </w:pPr>
      <w:r>
        <w:rPr/>
        <w:t>To become fully registered with AEP, Competitive Retailers must complete and submit the following documents:</w:t>
      </w:r>
    </w:p>
    <w:p>
      <w:pPr>
        <w:pStyle w:val="Normal"/>
        <w:tabs>
          <w:tab w:val="clear" w:pos="720"/>
          <w:tab w:val="left" w:pos="360" w:leader="none"/>
        </w:tabs>
        <w:rPr>
          <w:sz w:val="24"/>
        </w:rPr>
      </w:pPr>
      <w:r>
        <w:rPr>
          <w:sz w:val="24"/>
        </w:rPr>
        <w:t>Forms:</w:t>
      </w:r>
    </w:p>
    <w:p>
      <w:pPr>
        <w:pStyle w:val="Normal"/>
        <w:numPr>
          <w:ilvl w:val="0"/>
          <w:numId w:val="9"/>
        </w:numPr>
        <w:rPr>
          <w:sz w:val="24"/>
        </w:rPr>
      </w:pPr>
      <w:r>
        <w:rPr>
          <w:sz w:val="24"/>
        </w:rPr>
        <w:t>Trading Partner Profile</w:t>
      </w:r>
    </w:p>
    <w:p>
      <w:pPr>
        <w:pStyle w:val="Normal"/>
        <w:numPr>
          <w:ilvl w:val="0"/>
          <w:numId w:val="9"/>
        </w:numPr>
        <w:rPr>
          <w:sz w:val="24"/>
        </w:rPr>
      </w:pPr>
      <w:r>
        <w:rPr>
          <w:sz w:val="24"/>
        </w:rPr>
        <w:t>Network Integration Transmission Service Application or Point-to-Point Transmission Service Application for ERCOT region only.</w:t>
      </w:r>
    </w:p>
    <w:p>
      <w:pPr>
        <w:pStyle w:val="BodyText2"/>
        <w:rPr/>
      </w:pPr>
      <w:r>
        <w:rPr/>
        <w:t>Agreements:</w:t>
      </w:r>
    </w:p>
    <w:p>
      <w:pPr>
        <w:pStyle w:val="Normal"/>
        <w:numPr>
          <w:ilvl w:val="0"/>
          <w:numId w:val="23"/>
        </w:numPr>
        <w:rPr>
          <w:sz w:val="24"/>
        </w:rPr>
      </w:pPr>
      <w:r>
        <w:rPr>
          <w:sz w:val="24"/>
        </w:rPr>
        <w:t>TDSP/Competitive Retailer Agreement and any applicable addendum</w:t>
      </w:r>
    </w:p>
    <w:p>
      <w:pPr>
        <w:pStyle w:val="Normal"/>
        <w:numPr>
          <w:ilvl w:val="0"/>
          <w:numId w:val="23"/>
        </w:numPr>
        <w:rPr>
          <w:sz w:val="24"/>
        </w:rPr>
      </w:pPr>
      <w:r>
        <w:rPr>
          <w:sz w:val="24"/>
        </w:rPr>
        <w:t>Network Transmission Agreement (OATT Attachment F) or Point-to-Point Transmission Service Agreement (OATT Attachment A) for ERCOT region only.</w:t>
      </w:r>
    </w:p>
    <w:p>
      <w:pPr>
        <w:pStyle w:val="Normal"/>
        <w:tabs>
          <w:tab w:val="clear" w:pos="720"/>
          <w:tab w:val="left" w:pos="360" w:leader="none"/>
        </w:tabs>
        <w:rPr>
          <w:sz w:val="24"/>
        </w:rPr>
      </w:pPr>
      <w:r>
        <w:rPr>
          <w:sz w:val="24"/>
        </w:rPr>
      </w:r>
    </w:p>
    <w:p>
      <w:pPr>
        <w:pStyle w:val="Normal"/>
        <w:ind w:end="-864"/>
        <w:jc w:val="both"/>
        <w:rPr>
          <w:sz w:val="24"/>
        </w:rPr>
      </w:pPr>
      <w:r>
        <w:rPr>
          <w:sz w:val="24"/>
        </w:rPr>
      </w:r>
    </w:p>
    <w:p>
      <w:pPr>
        <w:pStyle w:val="Heading2"/>
        <w:ind w:hanging="0" w:start="0" w:end="-864"/>
        <w:jc w:val="both"/>
        <w:rPr/>
      </w:pPr>
      <w:r>
        <w:rPr>
          <w:u w:val="single"/>
        </w:rPr>
        <w:t>Key Market Components</w:t>
      </w:r>
      <w:r>
        <w:rPr/>
        <w:tab/>
      </w:r>
    </w:p>
    <w:p>
      <w:pPr>
        <w:pStyle w:val="Normal"/>
        <w:rPr>
          <w:sz w:val="24"/>
        </w:rPr>
      </w:pPr>
      <w:r>
        <w:rPr>
          <w:sz w:val="24"/>
        </w:rPr>
      </w:r>
    </w:p>
    <w:p>
      <w:pPr>
        <w:pStyle w:val="Heading7"/>
        <w:ind w:hanging="0" w:start="0"/>
        <w:rPr>
          <w:sz w:val="24"/>
        </w:rPr>
      </w:pPr>
      <w:r>
        <w:rPr>
          <w:sz w:val="24"/>
        </w:rPr>
        <w:t>ELECTRICITY FACTS LABEL</w:t>
      </w:r>
    </w:p>
    <w:p>
      <w:pPr>
        <w:pStyle w:val="BodyText2"/>
        <w:rPr/>
      </w:pPr>
      <w:r>
        <w:rPr/>
        <w:t>Beginning July 1, 2002, a Competitive Retailer shall distribute its Electricity Facts label to its customers with its January and July billings (or as a separate mailing).  Additionally, a REP shalll provides the commission with an electronic version of each Electricity Facts Label the CR distributes to its customers.  The commission shall make each label available to the public in a non-preferential manner over the Internet.  Items to be included in the facts label are:  pricing, contract terms, fuel mix, renewable energy claims.</w:t>
      </w:r>
    </w:p>
    <w:p>
      <w:pPr>
        <w:pStyle w:val="Normal"/>
        <w:rPr/>
      </w:pPr>
      <w:r>
        <w:rPr/>
      </w:r>
    </w:p>
    <w:p>
      <w:pPr>
        <w:pStyle w:val="Heading3"/>
        <w:ind w:hanging="0" w:start="0"/>
        <w:rPr/>
      </w:pPr>
      <w:r>
        <w:rPr>
          <w:b/>
          <w:bCs/>
          <w:color w:val="000000"/>
        </w:rPr>
        <w:t>CUSTOMER REGISTRATION</w:t>
      </w:r>
      <w:r>
        <w:rPr>
          <w:color w:val="000000"/>
        </w:rPr>
        <w:t xml:space="preserve"> </w:t>
      </w:r>
    </w:p>
    <w:p>
      <w:pPr>
        <w:pStyle w:val="Normal"/>
        <w:rPr>
          <w:sz w:val="24"/>
        </w:rPr>
      </w:pPr>
      <w:r>
        <w:rPr>
          <w:sz w:val="24"/>
        </w:rPr>
        <w:t>ERCOT shall maintain a registration database of all metered and unmetered ESI Ids in Texas for customer choice of a competitive retailer.  All CRs with customers in Texas whether operating inside the ERCOT region or not shall be required to register their customers through ERCOT.  For AEP the ESI ID is a 17-character number.</w:t>
      </w:r>
    </w:p>
    <w:p>
      <w:pPr>
        <w:pStyle w:val="Normal"/>
        <w:numPr>
          <w:ilvl w:val="0"/>
          <w:numId w:val="27"/>
        </w:numPr>
        <w:rPr>
          <w:sz w:val="24"/>
        </w:rPr>
      </w:pPr>
      <w:r>
        <w:rPr>
          <w:sz w:val="24"/>
        </w:rPr>
        <w:t>Registration Switch Processes</w:t>
      </w:r>
    </w:p>
    <w:p>
      <w:pPr>
        <w:pStyle w:val="Normal"/>
        <w:numPr>
          <w:ilvl w:val="0"/>
          <w:numId w:val="22"/>
        </w:numPr>
        <w:rPr>
          <w:sz w:val="24"/>
        </w:rPr>
      </w:pPr>
      <w:r>
        <w:rPr>
          <w:sz w:val="24"/>
        </w:rPr>
        <w:t>Switch Request – A switch request is a request submitted by a competitive retailer on behalf of a customer to switch service from the customers current CR to the requesting CR.  After the expiration of any mandated rescission period the CR shall submit to ERCOT a switch request via SET 814-01.</w:t>
      </w:r>
    </w:p>
    <w:p>
      <w:pPr>
        <w:pStyle w:val="Normal"/>
        <w:numPr>
          <w:ilvl w:val="0"/>
          <w:numId w:val="22"/>
        </w:numPr>
        <w:rPr>
          <w:sz w:val="24"/>
        </w:rPr>
      </w:pPr>
      <w:r>
        <w:rPr>
          <w:sz w:val="24"/>
        </w:rPr>
        <w:t xml:space="preserve">Provision of Historical Usage – If requested by the CR in the switch request. The TDSP shall provide the most recent 12 months of historical usage, if available, to ERCOT, including monthly metered usage for the customers ESI ID and any applicable metered interval usage.  This information shall be forwarded to the CR within 1 business day from ERCOT receipt of the historical usage form the TDSP.  With appropriate customer authorization, prospective Competitive Retailers may obtain 12 months of historical usage.   </w:t>
      </w:r>
    </w:p>
    <w:p>
      <w:pPr>
        <w:pStyle w:val="Normal"/>
        <w:numPr>
          <w:ilvl w:val="0"/>
          <w:numId w:val="22"/>
        </w:numPr>
        <w:rPr>
          <w:sz w:val="24"/>
        </w:rPr>
      </w:pPr>
      <w:r>
        <w:rPr>
          <w:sz w:val="24"/>
        </w:rPr>
        <w:t xml:space="preserve">Notification to Customer of Switch Request – ERCOT will send a switch confirmation notice to the customer as indicated by PUCT rules and regulations. This notice will give the customer information regarding the switch request including the name, address and telephone number of the CR submitting the switch.  The confirmation notice will also provide the customer a means to cancel the switch.  Customers other than residential and small commercial may agree to wave this customer notification as provided in PUCT rules and regulations.  The CR will indicate this in the switch request by a flag indicating that the customer notification information was not provided due to the customer’s choice to waive ERCOT sending the notification.  </w:t>
      </w:r>
    </w:p>
    <w:p>
      <w:pPr>
        <w:pStyle w:val="Normal"/>
        <w:numPr>
          <w:ilvl w:val="0"/>
          <w:numId w:val="22"/>
        </w:numPr>
        <w:rPr>
          <w:sz w:val="24"/>
        </w:rPr>
      </w:pPr>
      <w:r>
        <w:rPr>
          <w:sz w:val="24"/>
        </w:rPr>
        <w:t>Completion of Switch Request and Effective Switch Date – A switch request is completed upon receipt of the effecting meter read sent by the TDSP.  Switches shall become effective at midnight on the actual date of the associated meter read.  For a special meter read, the switch is effective at midnight on the date of the special meter read.</w:t>
      </w:r>
    </w:p>
    <w:p>
      <w:pPr>
        <w:pStyle w:val="Normal"/>
        <w:numPr>
          <w:ilvl w:val="0"/>
          <w:numId w:val="22"/>
        </w:numPr>
        <w:rPr>
          <w:sz w:val="24"/>
        </w:rPr>
      </w:pPr>
      <w:r>
        <w:rPr>
          <w:sz w:val="24"/>
        </w:rPr>
        <w:t>Limit of One Valid Switch Request Per Switch Cycle – ERCOT will implement only one valid switch request per ESI ID, per switch cycle.  A switch cycle begins when a valid switch request is received by ERCOT and ends when ERCOT processes the effecting meter read. When multiple switch requests for the same ESI ID are received during the same switch cycle the first valid request received will be processed and all subsequent requests will be rejected.</w:t>
      </w:r>
    </w:p>
    <w:p>
      <w:pPr>
        <w:pStyle w:val="Normal"/>
        <w:rPr>
          <w:sz w:val="24"/>
        </w:rPr>
      </w:pPr>
      <w:r>
        <w:rPr>
          <w:sz w:val="24"/>
        </w:rPr>
        <w:t xml:space="preserve"> </w:t>
      </w:r>
    </w:p>
    <w:p>
      <w:pPr>
        <w:pStyle w:val="Normal"/>
        <w:rPr>
          <w:sz w:val="24"/>
        </w:rPr>
      </w:pPr>
      <w:r>
        <w:rPr>
          <w:sz w:val="24"/>
        </w:rPr>
      </w:r>
    </w:p>
    <w:p>
      <w:pPr>
        <w:pStyle w:val="Heading7"/>
        <w:ind w:hanging="0" w:start="0"/>
        <w:rPr>
          <w:sz w:val="24"/>
        </w:rPr>
      </w:pPr>
      <w:r>
        <w:rPr>
          <w:sz w:val="24"/>
        </w:rPr>
        <w:t>METERING</w:t>
      </w:r>
    </w:p>
    <w:p>
      <w:pPr>
        <w:pStyle w:val="Normal"/>
        <w:numPr>
          <w:ilvl w:val="0"/>
          <w:numId w:val="27"/>
        </w:numPr>
        <w:rPr>
          <w:sz w:val="24"/>
        </w:rPr>
      </w:pPr>
      <w:r>
        <w:rPr>
          <w:sz w:val="24"/>
        </w:rPr>
        <w:t>All metering equipment is installed, owned and read by the applicable AEP.</w:t>
      </w:r>
    </w:p>
    <w:p>
      <w:pPr>
        <w:pStyle w:val="Normal"/>
        <w:numPr>
          <w:ilvl w:val="0"/>
          <w:numId w:val="27"/>
        </w:numPr>
        <w:rPr>
          <w:sz w:val="24"/>
        </w:rPr>
      </w:pPr>
      <w:r>
        <w:rPr>
          <w:sz w:val="24"/>
        </w:rPr>
        <w:t>Metering is not competitive at this time.  Will be competitive in 2004.</w:t>
      </w:r>
    </w:p>
    <w:p>
      <w:pPr>
        <w:pStyle w:val="Normal"/>
        <w:numPr>
          <w:ilvl w:val="0"/>
          <w:numId w:val="27"/>
        </w:numPr>
        <w:rPr>
          <w:sz w:val="24"/>
        </w:rPr>
      </w:pPr>
      <w:r>
        <w:rPr>
          <w:sz w:val="24"/>
        </w:rPr>
        <w:t>All data recorded in the customer’s meter shall be available to the Competitive Retailer.</w:t>
      </w:r>
    </w:p>
    <w:p>
      <w:pPr>
        <w:pStyle w:val="Normal"/>
        <w:numPr>
          <w:ilvl w:val="0"/>
          <w:numId w:val="27"/>
        </w:numPr>
        <w:rPr>
          <w:sz w:val="24"/>
        </w:rPr>
      </w:pPr>
      <w:r>
        <w:rPr>
          <w:sz w:val="24"/>
        </w:rPr>
        <w:t>All metering data will be time-stamped and reported in Central Prevailing Time.</w:t>
      </w:r>
    </w:p>
    <w:p>
      <w:pPr>
        <w:pStyle w:val="Normal"/>
        <w:numPr>
          <w:ilvl w:val="0"/>
          <w:numId w:val="27"/>
        </w:numPr>
        <w:rPr>
          <w:sz w:val="24"/>
        </w:rPr>
      </w:pPr>
      <w:r>
        <w:rPr>
          <w:sz w:val="24"/>
        </w:rPr>
        <w:t>All customers with demands of 1000 kW or greater must have interval metering.</w:t>
      </w:r>
    </w:p>
    <w:p>
      <w:pPr>
        <w:pStyle w:val="Normal"/>
        <w:numPr>
          <w:ilvl w:val="0"/>
          <w:numId w:val="27"/>
        </w:numPr>
        <w:rPr>
          <w:sz w:val="24"/>
        </w:rPr>
      </w:pPr>
      <w:r>
        <w:rPr>
          <w:sz w:val="24"/>
        </w:rPr>
        <w:t xml:space="preserve">AEP will obtain meter readings from the metering points.  The meter readings will be edited to ensure accurate consumption is reported and meter reading information is valid.  </w:t>
      </w:r>
    </w:p>
    <w:p>
      <w:pPr>
        <w:pStyle w:val="Normal"/>
        <w:numPr>
          <w:ilvl w:val="0"/>
          <w:numId w:val="27"/>
        </w:numPr>
        <w:rPr>
          <w:sz w:val="24"/>
        </w:rPr>
      </w:pPr>
      <w:r>
        <w:rPr>
          <w:sz w:val="24"/>
        </w:rPr>
        <w:t>AEP will send monthly consumption information for all applicable ESI Ids to ERCOT who will then forward to the Competitive Retailer within one business day.</w:t>
      </w:r>
    </w:p>
    <w:p>
      <w:pPr>
        <w:pStyle w:val="Normal"/>
        <w:numPr>
          <w:ilvl w:val="0"/>
          <w:numId w:val="27"/>
        </w:numPr>
        <w:rPr>
          <w:sz w:val="24"/>
        </w:rPr>
      </w:pPr>
      <w:r>
        <w:rPr>
          <w:sz w:val="24"/>
        </w:rPr>
        <w:t>Competitive Retailer can request a one-time adjustment to the Customer’s meter reading/billing cycle based one the following criteria:</w:t>
      </w:r>
    </w:p>
    <w:p>
      <w:pPr>
        <w:pStyle w:val="Normal"/>
        <w:numPr>
          <w:ilvl w:val="0"/>
          <w:numId w:val="5"/>
        </w:numPr>
        <w:rPr>
          <w:sz w:val="24"/>
        </w:rPr>
      </w:pPr>
      <w:r>
        <w:rPr>
          <w:sz w:val="24"/>
        </w:rPr>
        <w:t>Another TDSP defined cycle</w:t>
      </w:r>
      <w:r>
        <w:rPr>
          <w:b/>
          <w:bCs/>
          <w:sz w:val="24"/>
        </w:rPr>
        <w:t>, if available,</w:t>
      </w:r>
      <w:r>
        <w:rPr>
          <w:sz w:val="24"/>
        </w:rPr>
        <w:t xml:space="preserve"> for that account, or</w:t>
      </w:r>
    </w:p>
    <w:p>
      <w:pPr>
        <w:pStyle w:val="Normal"/>
        <w:numPr>
          <w:ilvl w:val="0"/>
          <w:numId w:val="5"/>
        </w:numPr>
        <w:rPr>
          <w:sz w:val="24"/>
        </w:rPr>
      </w:pPr>
      <w:r>
        <w:rPr>
          <w:b/>
          <w:bCs/>
          <w:sz w:val="24"/>
        </w:rPr>
        <w:t xml:space="preserve">Any </w:t>
      </w:r>
      <w:r>
        <w:rPr>
          <w:sz w:val="24"/>
        </w:rPr>
        <w:t>TDSP defined cycle, if the customer has remote meter reading.</w:t>
      </w:r>
    </w:p>
    <w:p>
      <w:pPr>
        <w:pStyle w:val="Normal"/>
        <w:rPr>
          <w:sz w:val="24"/>
        </w:rPr>
      </w:pPr>
      <w:r>
        <w:rPr>
          <w:sz w:val="24"/>
        </w:rPr>
      </w:r>
    </w:p>
    <w:p>
      <w:pPr>
        <w:pStyle w:val="Heading2"/>
        <w:ind w:hanging="0" w:start="0" w:end="-864"/>
        <w:jc w:val="both"/>
        <w:rPr/>
      </w:pPr>
      <w:r>
        <w:rPr/>
        <w:t>RETAIL BILLING</w:t>
      </w:r>
    </w:p>
    <w:p>
      <w:pPr>
        <w:pStyle w:val="Normal"/>
        <w:numPr>
          <w:ilvl w:val="0"/>
          <w:numId w:val="10"/>
        </w:numPr>
        <w:rPr>
          <w:sz w:val="24"/>
        </w:rPr>
      </w:pPr>
      <w:r>
        <w:rPr>
          <w:sz w:val="24"/>
        </w:rPr>
        <w:t>Invoices will be sent electronically in a bill-ready format by the TDSP to the CR three business days after the meter read.</w:t>
      </w:r>
    </w:p>
    <w:p>
      <w:pPr>
        <w:pStyle w:val="Normal"/>
        <w:numPr>
          <w:ilvl w:val="0"/>
          <w:numId w:val="10"/>
        </w:numPr>
        <w:rPr>
          <w:sz w:val="24"/>
        </w:rPr>
      </w:pPr>
      <w:r>
        <w:rPr>
          <w:sz w:val="24"/>
        </w:rPr>
        <w:t>Invoices will include ESI ID specific delivery charges, billing determinants and applicable charges for discretionary services as they are performed.</w:t>
      </w:r>
    </w:p>
    <w:p>
      <w:pPr>
        <w:pStyle w:val="BodyText"/>
        <w:numPr>
          <w:ilvl w:val="0"/>
          <w:numId w:val="10"/>
        </w:numPr>
        <w:rPr/>
      </w:pPr>
      <w:r>
        <w:rPr/>
        <w:t xml:space="preserve">The CR shall either validate or reject the electronic invoice within 48 hours of the first business day following receipt. AEP will promptly correct any errors that lead to invoice rejection. Any transactions that are neither validated nor rejected within this time frame will be considered valid. </w:t>
      </w:r>
    </w:p>
    <w:p>
      <w:pPr>
        <w:pStyle w:val="ListBullet"/>
        <w:rPr/>
      </w:pPr>
      <w:r>
        <w:rPr/>
        <w:t>AEP must receive notification of any invoice disputes within eleven months of the due date of the invoice in question; after this period, the invoice is deemed conclusive and binding.</w:t>
      </w:r>
    </w:p>
    <w:p>
      <w:pPr>
        <w:pStyle w:val="Normal"/>
        <w:rPr>
          <w:sz w:val="24"/>
        </w:rPr>
      </w:pPr>
      <w:r>
        <w:rPr>
          <w:sz w:val="24"/>
        </w:rPr>
      </w:r>
    </w:p>
    <w:p>
      <w:pPr>
        <w:pStyle w:val="Heading2"/>
        <w:ind w:hanging="0" w:start="0"/>
        <w:rPr>
          <w:bCs/>
        </w:rPr>
      </w:pPr>
      <w:r>
        <w:rPr>
          <w:bCs/>
        </w:rPr>
        <w:t>REMITTANCE</w:t>
      </w:r>
    </w:p>
    <w:p>
      <w:pPr>
        <w:pStyle w:val="Normal"/>
        <w:numPr>
          <w:ilvl w:val="0"/>
          <w:numId w:val="20"/>
        </w:numPr>
        <w:rPr>
          <w:sz w:val="24"/>
        </w:rPr>
      </w:pPr>
      <w:r>
        <w:rPr>
          <w:sz w:val="24"/>
        </w:rPr>
        <w:t>Payments are due to the TDSP for all undisputed charges 35 calendar days after TDSP’s transmittal of a validated invoice.</w:t>
      </w:r>
    </w:p>
    <w:p>
      <w:pPr>
        <w:pStyle w:val="Normal"/>
        <w:numPr>
          <w:ilvl w:val="1"/>
          <w:numId w:val="20"/>
        </w:numPr>
        <w:rPr>
          <w:sz w:val="24"/>
        </w:rPr>
      </w:pPr>
      <w:r>
        <w:rPr>
          <w:sz w:val="24"/>
        </w:rPr>
        <w:t>Unless the 35</w:t>
      </w:r>
      <w:r>
        <w:rPr>
          <w:sz w:val="24"/>
          <w:vertAlign w:val="superscript"/>
        </w:rPr>
        <w:t>th</w:t>
      </w:r>
      <w:r>
        <w:rPr>
          <w:sz w:val="24"/>
        </w:rPr>
        <w:t xml:space="preserve"> day falls on a weekend or banking holiday</w:t>
      </w:r>
    </w:p>
    <w:p>
      <w:pPr>
        <w:pStyle w:val="Normal"/>
        <w:numPr>
          <w:ilvl w:val="1"/>
          <w:numId w:val="20"/>
        </w:numPr>
        <w:rPr>
          <w:sz w:val="24"/>
        </w:rPr>
      </w:pPr>
      <w:r>
        <w:rPr>
          <w:sz w:val="24"/>
        </w:rPr>
        <w:t>Invoices transmitted after 5:00 P.M. will be considered received the next day.</w:t>
      </w:r>
    </w:p>
    <w:p>
      <w:pPr>
        <w:pStyle w:val="Normal"/>
        <w:numPr>
          <w:ilvl w:val="0"/>
          <w:numId w:val="20"/>
        </w:numPr>
        <w:rPr>
          <w:sz w:val="24"/>
        </w:rPr>
      </w:pPr>
      <w:r>
        <w:rPr>
          <w:sz w:val="24"/>
        </w:rPr>
        <w:t>TDSPs shall specify the due date on the invoice.</w:t>
      </w:r>
    </w:p>
    <w:p>
      <w:pPr>
        <w:pStyle w:val="BodyText"/>
        <w:numPr>
          <w:ilvl w:val="0"/>
          <w:numId w:val="20"/>
        </w:numPr>
        <w:rPr/>
      </w:pPr>
      <w:r>
        <w:rPr/>
        <w:t>Payments are due regardless of whether Competitive Retailer has received payment from the customer.  When the CR presents its bill to the retail customer, the CR will be responsible for collecting the payments from the customer and any costs to collect delinquent payments.</w:t>
      </w:r>
    </w:p>
    <w:p>
      <w:pPr>
        <w:pStyle w:val="ListBullet"/>
        <w:rPr/>
      </w:pPr>
      <w:r>
        <w:rPr/>
        <w:t xml:space="preserve">Each CR will be responsible for the collection of any applicable sales taxes and remittance of those taxes to the appropriate governmental agency. </w:t>
      </w:r>
      <w:r>
        <w:rPr>
          <w:szCs w:val="24"/>
        </w:rPr>
        <w:t xml:space="preserve">It should be noted that AEP would bill any charges associated with individual construction service directly to the requesting entity (either the CR or the retail customer) utilizing a non-electronic method (i.e. paper invoice). All applicable taxes will be applied and payable by the requestor. </w:t>
      </w:r>
    </w:p>
    <w:p>
      <w:pPr>
        <w:pStyle w:val="Normal"/>
        <w:numPr>
          <w:ilvl w:val="0"/>
          <w:numId w:val="20"/>
        </w:numPr>
        <w:rPr>
          <w:sz w:val="24"/>
        </w:rPr>
      </w:pPr>
      <w:r>
        <w:rPr>
          <w:sz w:val="24"/>
        </w:rPr>
        <w:t>Payments are to be made via Electronic Funds Transfer (EFT)</w:t>
      </w:r>
    </w:p>
    <w:p>
      <w:pPr>
        <w:pStyle w:val="Normal"/>
        <w:numPr>
          <w:ilvl w:val="0"/>
          <w:numId w:val="20"/>
        </w:numPr>
        <w:rPr>
          <w:sz w:val="24"/>
        </w:rPr>
      </w:pPr>
      <w:r>
        <w:rPr>
          <w:sz w:val="24"/>
        </w:rPr>
        <w:t>If a Competitive Retailer disputes all or a portion of an invoice, the Competitive Retailer may refuse to pay the disputed amount.  If it does so, it shall provide written notice to AEP of the dispute and shall include in the notice, at a minimum, an explanation of the disputed portion of the invoice, the basis of the dispute, and a proposed resolution.</w:t>
      </w:r>
    </w:p>
    <w:p>
      <w:pPr>
        <w:pStyle w:val="Normal"/>
        <w:rPr>
          <w:sz w:val="24"/>
        </w:rPr>
      </w:pPr>
      <w:r>
        <w:rPr>
          <w:sz w:val="24"/>
        </w:rPr>
      </w:r>
    </w:p>
    <w:p>
      <w:pPr>
        <w:pStyle w:val="Heading2"/>
        <w:ind w:hanging="0" w:start="0"/>
        <w:rPr/>
      </w:pPr>
      <w:r>
        <w:rPr/>
        <w:t>SECURITY DEPOSIT REQUIREMENT</w:t>
      </w:r>
    </w:p>
    <w:p>
      <w:pPr>
        <w:pStyle w:val="Heading3"/>
        <w:ind w:hanging="0" w:start="0"/>
        <w:rPr>
          <w:b/>
          <w:bCs/>
          <w:color w:val="000000"/>
        </w:rPr>
      </w:pPr>
      <w:r>
        <w:rPr>
          <w:b/>
          <w:bCs/>
          <w:color w:val="000000"/>
        </w:rPr>
        <w:t>Establishment of Deposit for Transition Charges (AEP- CPL Only)</w:t>
      </w:r>
    </w:p>
    <w:p>
      <w:pPr>
        <w:pStyle w:val="Normal"/>
        <w:keepLines/>
        <w:autoSpaceDE w:val="false"/>
        <w:spacing w:lineRule="atLeast" w:line="240"/>
        <w:rPr>
          <w:sz w:val="24"/>
        </w:rPr>
      </w:pPr>
      <w:r>
        <w:rPr>
          <w:sz w:val="24"/>
        </w:rPr>
        <w:t>If a CR who is serving retail customers in the AEP-Central Power and Light territory (only) is found to be in default, AEP may assess a security deposit equal to one-sixth of the estimated annual amount to be billed under the tariff (Schedule TC, Transition Charges). Once AEP establishes the need for a deposit and sends an invoice to the CR, the CR has ten calendar days to remit the required amount; in addition, the CR has the option of providing this deposit in the form of cash, surety bond, letter of credit, affiliate guaranty, or any combination thereof.</w:t>
      </w:r>
    </w:p>
    <w:p>
      <w:pPr>
        <w:pStyle w:val="Normal"/>
        <w:keepLines/>
        <w:autoSpaceDE w:val="false"/>
        <w:spacing w:lineRule="atLeast" w:line="240"/>
        <w:rPr>
          <w:sz w:val="24"/>
        </w:rPr>
      </w:pPr>
      <w:r>
        <w:rPr>
          <w:sz w:val="24"/>
        </w:rPr>
      </w:r>
    </w:p>
    <w:p>
      <w:pPr>
        <w:pStyle w:val="Normal"/>
        <w:keepLines/>
        <w:autoSpaceDE w:val="false"/>
        <w:spacing w:lineRule="atLeast" w:line="240"/>
        <w:rPr>
          <w:sz w:val="24"/>
        </w:rPr>
      </w:pPr>
      <w:r>
        <w:rPr>
          <w:sz w:val="24"/>
        </w:rPr>
        <w:t>On a quarterly basis, AEP will review the deposit amount and make adjustments, if necessary, to ensure that the deposit accurately reflects the required amount. Cash deposits accrue interest (in accordance of Texas Utilities Code Section 183), which is payable to the CR upon refund of the deposit, or during the quarterly review. AEP will maintain historical deposit information for a minimum of four years.</w:t>
      </w:r>
    </w:p>
    <w:p>
      <w:pPr>
        <w:pStyle w:val="Normal"/>
        <w:keepLines/>
        <w:autoSpaceDE w:val="false"/>
        <w:spacing w:lineRule="atLeast" w:line="240"/>
        <w:rPr>
          <w:sz w:val="24"/>
        </w:rPr>
      </w:pPr>
      <w:r>
        <w:rPr>
          <w:sz w:val="24"/>
        </w:rPr>
      </w:r>
    </w:p>
    <w:p>
      <w:pPr>
        <w:pStyle w:val="Heading3"/>
        <w:ind w:hanging="0" w:start="0"/>
        <w:rPr>
          <w:b/>
          <w:color w:val="000000"/>
        </w:rPr>
      </w:pPr>
      <w:r>
        <w:rPr>
          <w:b/>
          <w:color w:val="000000"/>
        </w:rPr>
        <w:t>Deposit for Failure to Remit Distribution Charges (AEP – All Operating Co.)</w:t>
      </w:r>
    </w:p>
    <w:p>
      <w:pPr>
        <w:pStyle w:val="DefaultText"/>
        <w:rPr/>
      </w:pPr>
      <w:r>
        <w:rPr/>
        <w:t>If a CR is deemed to have defaulted within the last 24 months, AEP can require a deposit in the amount equal to one-sixth of the estimated annual amount to be billed to the Competitive Retailer. This amount will be reviewed during the first month of each calendar quarter to ensure that the deposit accurately reflects the required amount.</w:t>
      </w:r>
    </w:p>
    <w:p>
      <w:pPr>
        <w:pStyle w:val="DefaultText"/>
        <w:rPr/>
      </w:pPr>
      <w:r>
        <w:rPr/>
      </w:r>
    </w:p>
    <w:p>
      <w:pPr>
        <w:pStyle w:val="DefaultText"/>
        <w:rPr/>
      </w:pPr>
      <w:r>
        <w:rPr/>
        <w:t>The deposit shall be in the form of cash, surety bond, letter of credit, affiliate guaranty or any combination thereof.  Cash deposits shall accrue interest, and be paid to the CR at the time of refund or on the quarterly review date if the interest causes the deposit to exceed the required amount (as described in 6.7.1 above).  Deposits shall be refunded when the CR has not defaulted on payment anytime during the past 24 months.</w:t>
      </w:r>
    </w:p>
    <w:p>
      <w:pPr>
        <w:pStyle w:val="Normal"/>
        <w:keepLines/>
        <w:autoSpaceDE w:val="false"/>
        <w:spacing w:lineRule="atLeast" w:line="240"/>
        <w:rPr>
          <w:sz w:val="24"/>
        </w:rPr>
      </w:pPr>
      <w:r>
        <w:rPr>
          <w:sz w:val="24"/>
        </w:rPr>
      </w:r>
    </w:p>
    <w:p>
      <w:pPr>
        <w:pStyle w:val="Heading2"/>
        <w:ind w:hanging="0" w:start="0"/>
        <w:rPr>
          <w:bCs/>
        </w:rPr>
      </w:pPr>
      <w:r>
        <w:rPr>
          <w:bCs/>
        </w:rPr>
        <w:t>SERVICE INQUIRIES</w:t>
      </w:r>
    </w:p>
    <w:p>
      <w:pPr>
        <w:pStyle w:val="Normal"/>
        <w:numPr>
          <w:ilvl w:val="0"/>
          <w:numId w:val="7"/>
        </w:numPr>
        <w:rPr>
          <w:sz w:val="24"/>
        </w:rPr>
      </w:pPr>
      <w:r>
        <w:rPr>
          <w:sz w:val="24"/>
        </w:rPr>
        <w:t>Competitive Retailers may contact the TDSP regarding delivery services, e.g.:</w:t>
      </w:r>
    </w:p>
    <w:p>
      <w:pPr>
        <w:pStyle w:val="Normal"/>
        <w:numPr>
          <w:ilvl w:val="0"/>
          <w:numId w:val="3"/>
        </w:numPr>
        <w:rPr>
          <w:sz w:val="24"/>
        </w:rPr>
      </w:pPr>
      <w:r>
        <w:rPr>
          <w:sz w:val="24"/>
        </w:rPr>
        <w:t>Inquiries regarding specific site delivery services;</w:t>
      </w:r>
    </w:p>
    <w:p>
      <w:pPr>
        <w:pStyle w:val="Normal"/>
        <w:numPr>
          <w:ilvl w:val="0"/>
          <w:numId w:val="3"/>
        </w:numPr>
        <w:rPr>
          <w:sz w:val="24"/>
        </w:rPr>
      </w:pPr>
      <w:r>
        <w:rPr>
          <w:sz w:val="24"/>
        </w:rPr>
        <w:t>Construction of new lines;</w:t>
      </w:r>
    </w:p>
    <w:p>
      <w:pPr>
        <w:pStyle w:val="Normal"/>
        <w:numPr>
          <w:ilvl w:val="0"/>
          <w:numId w:val="3"/>
        </w:numPr>
        <w:rPr>
          <w:sz w:val="24"/>
        </w:rPr>
      </w:pPr>
      <w:r>
        <w:rPr>
          <w:sz w:val="24"/>
        </w:rPr>
        <w:t>Installation of a meter, modification of existing equipment;</w:t>
      </w:r>
    </w:p>
    <w:p>
      <w:pPr>
        <w:pStyle w:val="Normal"/>
        <w:numPr>
          <w:ilvl w:val="0"/>
          <w:numId w:val="3"/>
        </w:numPr>
        <w:rPr>
          <w:sz w:val="24"/>
        </w:rPr>
      </w:pPr>
      <w:r>
        <w:rPr>
          <w:sz w:val="24"/>
        </w:rPr>
        <w:t>Initiation of delivery system service to a retail customer.</w:t>
      </w:r>
    </w:p>
    <w:p>
      <w:pPr>
        <w:pStyle w:val="Normal"/>
        <w:rPr>
          <w:sz w:val="24"/>
        </w:rPr>
      </w:pPr>
      <w:r>
        <w:rPr>
          <w:sz w:val="24"/>
        </w:rPr>
      </w:r>
    </w:p>
    <w:p>
      <w:pPr>
        <w:pStyle w:val="Heading2"/>
        <w:ind w:hanging="0" w:start="0"/>
        <w:rPr>
          <w:bCs/>
        </w:rPr>
      </w:pPr>
      <w:r>
        <w:rPr>
          <w:bCs/>
        </w:rPr>
        <w:t>OUTAGE AND SERVICE REQUEST REPORTING</w:t>
      </w:r>
    </w:p>
    <w:p>
      <w:pPr>
        <w:pStyle w:val="Normal"/>
        <w:numPr>
          <w:ilvl w:val="0"/>
          <w:numId w:val="7"/>
        </w:numPr>
        <w:rPr>
          <w:sz w:val="24"/>
        </w:rPr>
      </w:pPr>
      <w:r>
        <w:rPr>
          <w:sz w:val="24"/>
        </w:rPr>
        <w:t>Competitive Retailers must inform their customers how to report interruptions, irregularities, outages and service requests.</w:t>
      </w:r>
    </w:p>
    <w:p>
      <w:pPr>
        <w:pStyle w:val="Normal"/>
        <w:numPr>
          <w:ilvl w:val="0"/>
          <w:numId w:val="7"/>
        </w:numPr>
        <w:rPr>
          <w:sz w:val="24"/>
        </w:rPr>
      </w:pPr>
      <w:r>
        <w:rPr>
          <w:sz w:val="24"/>
        </w:rPr>
        <w:t>Competitive Retailers can choose to provide this service by any of the following methods:</w:t>
      </w:r>
    </w:p>
    <w:p>
      <w:pPr>
        <w:pStyle w:val="Normal"/>
        <w:numPr>
          <w:ilvl w:val="0"/>
          <w:numId w:val="17"/>
        </w:numPr>
        <w:rPr>
          <w:sz w:val="24"/>
        </w:rPr>
      </w:pPr>
      <w:r>
        <w:rPr>
          <w:sz w:val="24"/>
        </w:rPr>
        <w:t xml:space="preserve">Take the customer call and forward all pertinent information to the TDSP </w:t>
      </w:r>
      <w:r>
        <w:rPr>
          <w:b/>
          <w:bCs/>
          <w:sz w:val="24"/>
        </w:rPr>
        <w:t>electronically</w:t>
      </w:r>
      <w:r>
        <w:rPr>
          <w:sz w:val="24"/>
        </w:rPr>
        <w:t>;</w:t>
      </w:r>
    </w:p>
    <w:p>
      <w:pPr>
        <w:pStyle w:val="Normal"/>
        <w:numPr>
          <w:ilvl w:val="0"/>
          <w:numId w:val="17"/>
        </w:numPr>
        <w:rPr>
          <w:sz w:val="24"/>
        </w:rPr>
      </w:pPr>
      <w:r>
        <w:rPr>
          <w:sz w:val="24"/>
        </w:rPr>
        <w:t>Take the customer call and then forward the call to the applicable TDSP; or</w:t>
      </w:r>
    </w:p>
    <w:p>
      <w:pPr>
        <w:pStyle w:val="Normal"/>
        <w:numPr>
          <w:ilvl w:val="0"/>
          <w:numId w:val="17"/>
        </w:numPr>
        <w:rPr>
          <w:sz w:val="24"/>
        </w:rPr>
      </w:pPr>
      <w:r>
        <w:rPr>
          <w:sz w:val="24"/>
        </w:rPr>
        <w:t xml:space="preserve">Direct customers to directly call the TDSP to make such reports and requests.  </w:t>
      </w:r>
    </w:p>
    <w:p>
      <w:pPr>
        <w:pStyle w:val="Normal"/>
        <w:numPr>
          <w:ilvl w:val="0"/>
          <w:numId w:val="19"/>
        </w:numPr>
        <w:rPr>
          <w:sz w:val="24"/>
        </w:rPr>
      </w:pPr>
      <w:r>
        <w:rPr>
          <w:sz w:val="24"/>
        </w:rPr>
        <w:t xml:space="preserve">AEP’s toll free outage notification phone number in Texas is:  </w:t>
      </w:r>
      <w:r>
        <w:rPr>
          <w:b/>
          <w:bCs/>
          <w:sz w:val="24"/>
        </w:rPr>
        <w:t>1-866-223-8508.</w:t>
      </w:r>
    </w:p>
    <w:p>
      <w:pPr>
        <w:pStyle w:val="Normal"/>
        <w:numPr>
          <w:ilvl w:val="0"/>
          <w:numId w:val="19"/>
        </w:numPr>
        <w:rPr>
          <w:sz w:val="24"/>
        </w:rPr>
      </w:pPr>
      <w:r>
        <w:rPr>
          <w:sz w:val="24"/>
        </w:rPr>
        <w:t xml:space="preserve">AEP’s toll free service request phone number in Texas is:  </w:t>
      </w:r>
      <w:r>
        <w:rPr>
          <w:b/>
          <w:bCs/>
          <w:sz w:val="24"/>
        </w:rPr>
        <w:t>1-877-373-4858.</w:t>
      </w:r>
    </w:p>
    <w:p>
      <w:pPr>
        <w:pStyle w:val="Normal"/>
        <w:numPr>
          <w:ilvl w:val="0"/>
          <w:numId w:val="18"/>
        </w:numPr>
        <w:rPr>
          <w:sz w:val="24"/>
        </w:rPr>
      </w:pPr>
      <w:r>
        <w:rPr>
          <w:sz w:val="24"/>
        </w:rPr>
        <w:t>Competitive Retailers must designate in the delivery service agreement the primary method of reporting.</w:t>
      </w:r>
    </w:p>
    <w:p>
      <w:pPr>
        <w:pStyle w:val="Normal"/>
        <w:numPr>
          <w:ilvl w:val="0"/>
          <w:numId w:val="18"/>
        </w:numPr>
        <w:rPr>
          <w:sz w:val="24"/>
        </w:rPr>
      </w:pPr>
      <w:r>
        <w:rPr>
          <w:sz w:val="24"/>
        </w:rPr>
        <w:t>TDSPs will provide advance notice to Competitive Retailers of planned outages, if reasonably possible.</w:t>
      </w:r>
    </w:p>
    <w:p>
      <w:pPr>
        <w:pStyle w:val="Normal"/>
        <w:numPr>
          <w:ilvl w:val="0"/>
          <w:numId w:val="18"/>
        </w:numPr>
        <w:rPr>
          <w:sz w:val="24"/>
        </w:rPr>
      </w:pPr>
      <w:r>
        <w:rPr>
          <w:sz w:val="24"/>
        </w:rPr>
        <w:t>TDSPs will potentially allow Competitive Retailers to choose one method for reporting outages and a different method for requesting service orders.</w:t>
      </w:r>
    </w:p>
    <w:p>
      <w:pPr>
        <w:pStyle w:val="Normal"/>
        <w:rPr>
          <w:sz w:val="24"/>
        </w:rPr>
      </w:pPr>
      <w:r>
        <w:rPr>
          <w:sz w:val="24"/>
        </w:rPr>
      </w:r>
    </w:p>
    <w:p>
      <w:pPr>
        <w:pStyle w:val="Heading2"/>
        <w:ind w:hanging="0" w:start="0"/>
        <w:rPr>
          <w:bCs/>
        </w:rPr>
      </w:pPr>
      <w:r>
        <w:rPr>
          <w:bCs/>
        </w:rPr>
        <w:t>SPECIAL NEEDS</w:t>
      </w:r>
    </w:p>
    <w:p>
      <w:pPr>
        <w:pStyle w:val="BodyText2"/>
        <w:rPr/>
      </w:pPr>
      <w:r>
        <w:rPr/>
        <w:t>AEP relies on Competitive Retailers to help identify and certify Special Needs customers.  Special Needs customers are those industrial customers that have processes that might create a dangerous situation if power is lost; institutional customers that are required for the public’s health and safety; and individual customers who have been identified as having life threatening consequences concerning the loss of electric power.  Processes for identifying and certifying these customers for Full Choice are currently being developed and will be provided once they are completed and approved.</w:t>
      </w:r>
    </w:p>
    <w:p>
      <w:pPr>
        <w:pStyle w:val="BodyText2"/>
        <w:rPr/>
      </w:pPr>
      <w:r>
        <w:rPr/>
      </w:r>
    </w:p>
    <w:p>
      <w:pPr>
        <w:pStyle w:val="BodyText2"/>
        <w:rPr>
          <w:b/>
          <w:bCs/>
        </w:rPr>
      </w:pPr>
      <w:r>
        <w:rPr>
          <w:b/>
          <w:bCs/>
        </w:rPr>
        <w:t>POWER DIVERSION</w:t>
      </w:r>
    </w:p>
    <w:p>
      <w:pPr>
        <w:pStyle w:val="Normal"/>
        <w:spacing w:before="0" w:after="240"/>
        <w:rPr/>
      </w:pPr>
      <w:r>
        <w:rPr>
          <w:iCs/>
          <w:sz w:val="24"/>
        </w:rPr>
        <w:t>If</w:t>
      </w:r>
      <w:r>
        <w:rPr>
          <w:i/>
          <w:sz w:val="24"/>
        </w:rPr>
        <w:t xml:space="preserve"> </w:t>
      </w:r>
      <w:r>
        <w:rPr>
          <w:sz w:val="24"/>
        </w:rPr>
        <w:t>power diversion or meter tampering is detected, the situation is assigned to the AEP Revenue Protection Department. Specially trained personnel investigate and calculate financial losses due to the diversion or tampering.  The results of the investigation will be shared with the CR of record, and any past CRs that provided service during the time frame that the Revenue Protection Department determines that the problem was occurring.  A service delivery point that has been disconnected because of power diversion may require a permit or inspection, depending on the jurisdiction.</w:t>
      </w:r>
    </w:p>
    <w:p>
      <w:pPr>
        <w:pStyle w:val="Heading2"/>
        <w:ind w:hanging="0" w:start="0"/>
        <w:rPr>
          <w:bCs/>
        </w:rPr>
      </w:pPr>
      <w:r>
        <w:rPr>
          <w:bCs/>
        </w:rPr>
        <w:t>PERMITS AND INSPECTIONS</w:t>
      </w:r>
    </w:p>
    <w:p>
      <w:pPr>
        <w:pStyle w:val="Normal"/>
        <w:spacing w:before="0" w:after="240"/>
        <w:rPr/>
      </w:pPr>
      <w:r>
        <w:rPr>
          <w:sz w:val="24"/>
        </w:rPr>
        <w:t>Many cities and counties in AEP’s Texas territory require a permit or inspection in advance of activity involving the meter. The permit and inspection requirements vary from jurisdiction to jurisdiction.  It is the responsibility of the retail customer to initiate the permit or inspection process that is required in their jurisdiction.  It is the responsibility of the CR to advise the customer that a permit might be required.  AEP has established a Permits and Inspections</w:t>
      </w:r>
      <w:r>
        <w:rPr>
          <w:b/>
          <w:bCs/>
          <w:sz w:val="24"/>
        </w:rPr>
        <w:t xml:space="preserve"> </w:t>
      </w:r>
      <w:r>
        <w:rPr>
          <w:sz w:val="24"/>
        </w:rPr>
        <w:t>page</w:t>
      </w:r>
      <w:r>
        <w:rPr>
          <w:b/>
          <w:bCs/>
          <w:sz w:val="24"/>
        </w:rPr>
        <w:t xml:space="preserve"> </w:t>
      </w:r>
      <w:r>
        <w:rPr>
          <w:sz w:val="24"/>
        </w:rPr>
        <w:t>on their company website to assist CRs in communicating to their customers where a permit or inspection is required.</w:t>
      </w:r>
    </w:p>
    <w:p>
      <w:pPr>
        <w:pStyle w:val="Heading2"/>
        <w:ind w:hanging="0" w:start="0"/>
        <w:rPr>
          <w:bCs/>
        </w:rPr>
      </w:pPr>
      <w:r>
        <w:rPr>
          <w:bCs/>
        </w:rPr>
        <w:t>REGIONAL RELIABILITY COUNCIL</w:t>
      </w:r>
    </w:p>
    <w:p>
      <w:pPr>
        <w:pStyle w:val="Heading1"/>
        <w:ind w:hanging="0" w:start="0"/>
        <w:rPr/>
      </w:pPr>
      <w:r>
        <w:rPr/>
        <w:t>Central Power &amp; Light</w:t>
        <w:tab/>
        <w:tab/>
        <w:tab/>
        <w:t>ERCOT</w:t>
      </w:r>
    </w:p>
    <w:p>
      <w:pPr>
        <w:pStyle w:val="Heading1"/>
        <w:ind w:hanging="0" w:start="0"/>
        <w:rPr/>
      </w:pPr>
      <w:r>
        <w:rPr/>
        <w:t>Southwestern Electric Power Company</w:t>
        <w:tab/>
        <w:t>SPP</w:t>
      </w:r>
    </w:p>
    <w:p>
      <w:pPr>
        <w:pStyle w:val="Normal"/>
        <w:rPr>
          <w:sz w:val="24"/>
        </w:rPr>
      </w:pPr>
      <w:r>
        <w:rPr>
          <w:sz w:val="24"/>
        </w:rPr>
        <w:t>West Texas Utilities</w:t>
        <w:tab/>
        <w:tab/>
        <w:tab/>
        <w:tab/>
        <w:t>SPP/ERCOT</w:t>
      </w:r>
    </w:p>
    <w:p>
      <w:pPr>
        <w:pStyle w:val="Normal"/>
        <w:rPr>
          <w:sz w:val="24"/>
        </w:rPr>
      </w:pPr>
      <w:r>
        <w:rPr>
          <w:sz w:val="24"/>
        </w:rPr>
      </w:r>
    </w:p>
    <w:p>
      <w:pPr>
        <w:pStyle w:val="Normal"/>
        <w:rPr>
          <w:b/>
          <w:bCs/>
          <w:sz w:val="24"/>
        </w:rPr>
      </w:pPr>
      <w:r>
        <w:rPr>
          <w:b/>
          <w:bCs/>
          <w:sz w:val="24"/>
        </w:rPr>
        <w:t>ELECTRIC RELIABILITY COUNCIL OF TEXAS (ERCOT)</w:t>
      </w:r>
    </w:p>
    <w:p>
      <w:pPr>
        <w:pStyle w:val="Heading8"/>
        <w:tabs>
          <w:tab w:val="clear" w:pos="360"/>
        </w:tabs>
        <w:ind w:hanging="0" w:start="0"/>
        <w:rPr/>
      </w:pPr>
      <w:r>
        <w:rPr/>
        <w:t>Market Overview</w:t>
      </w:r>
    </w:p>
    <w:p>
      <w:pPr>
        <w:pStyle w:val="TextBody"/>
        <w:ind w:start="0" w:end="0"/>
        <w:rPr/>
      </w:pPr>
      <w:r>
        <w:rPr/>
        <w:t>The Electric Reliability Council of Texas (ERCOT) is a not-for-profit, regulated Control Area Authority (CAA) and member of the North American Electric Reliability Council (NERC).  The Public Utility Commission of Texas (PUCT) is the principal regulatory authority of ERCOT. The Federal Energy Regulatory Commission (FERC) has regulatory authority over the DC Tie Line and future interconnections between ERCOT and out of state entities.</w:t>
      </w:r>
    </w:p>
    <w:p>
      <w:pPr>
        <w:pStyle w:val="TextBody"/>
        <w:ind w:start="0" w:end="0"/>
        <w:rPr/>
      </w:pPr>
      <w:r>
        <w:rPr/>
        <w:t xml:space="preserve">The primary responsibility of ERCOT Control Area Authority is to ensure secure and reliable power grid operation within the ERCOT System in accordance with NERC standards, where applicable and to facilitate the efficient use of the electric transmission system by the market participants.  </w:t>
      </w:r>
    </w:p>
    <w:p>
      <w:pPr>
        <w:pStyle w:val="TextBody"/>
        <w:ind w:start="0" w:end="0"/>
        <w:rPr/>
      </w:pPr>
      <w:r>
        <w:rPr/>
        <w:t>The ERCOT System market is based on bilateral transactions between buyers and sellers. ERCOT will ensure that the power grid can accommodate market participant schedules.  In addition, ERCOT Control Area Authority will monitor the power grid in real time and provide ancillary services to resolve capacity shortfalls, transmission congestion and maintain reliability.</w:t>
      </w:r>
    </w:p>
    <w:p>
      <w:pPr>
        <w:pStyle w:val="TextBody"/>
        <w:ind w:start="0" w:end="0"/>
        <w:rPr/>
      </w:pPr>
      <w:r>
        <w:rPr/>
        <w:t xml:space="preserve">The ERCOT Control Area Authority only interacts directly with Qualified Scheduling Entities and Transmission and/or Distribution Service Providers to operate the ERCOT System in a reliable and secure manner.  </w:t>
      </w:r>
    </w:p>
    <w:p>
      <w:pPr>
        <w:pStyle w:val="Heading3"/>
        <w:ind w:hanging="0" w:start="0"/>
        <w:rPr>
          <w:b/>
          <w:bCs/>
          <w:color w:val="000000"/>
          <w:u w:val="single"/>
        </w:rPr>
      </w:pPr>
      <w:r>
        <w:rPr>
          <w:b/>
          <w:bCs/>
          <w:color w:val="000000"/>
          <w:u w:val="single"/>
          <w:lang w:val="en-CA" w:eastAsia="en-CA"/>
        </w:rPr>
        <w:t>ERCOT Control Area Authority</w:t>
      </w:r>
    </w:p>
    <w:p>
      <w:pPr>
        <w:pStyle w:val="TextBody"/>
        <w:ind w:start="0" w:end="0"/>
        <w:rPr/>
      </w:pPr>
      <w:r>
        <w:rPr/>
        <w:t>ERCOT Control Area Authority is the regional security coordinator for the ERCOT System and is responsible for all regional security coordination as defined in the NERC Operating Manual and applicable ERCOT Operating Manuals or Guides.</w:t>
      </w:r>
    </w:p>
    <w:p>
      <w:pPr>
        <w:pStyle w:val="TextBody"/>
        <w:ind w:start="0" w:end="0"/>
        <w:rPr/>
      </w:pPr>
      <w:r>
        <w:rPr/>
        <w:t>ERCOT Control Area Authority will deploy all Ancillary Services and dispatch transmission in accordance with the ERCOT Protocols, to ensure operational security and to remedy all Commercially Significant Constraints (CSC) and Operational Constraints.</w:t>
      </w:r>
    </w:p>
    <w:p>
      <w:pPr>
        <w:pStyle w:val="TextBody"/>
        <w:ind w:start="0" w:end="0"/>
        <w:rPr/>
      </w:pPr>
      <w:r>
        <w:rPr/>
        <w:t>ERCOT Control Area Authority shall operate the ERCOT Transmission Grid in compliance with good utility practice, NERC, and ERCOT standards, policies, guidelines and operating procedures, including, but not limited to:</w:t>
      </w:r>
    </w:p>
    <w:p>
      <w:pPr>
        <w:pStyle w:val="ListBullet"/>
        <w:numPr>
          <w:ilvl w:val="0"/>
          <w:numId w:val="2"/>
        </w:numPr>
        <w:rPr/>
      </w:pPr>
      <w:r>
        <w:rPr/>
        <w:t>ERCOT Operating Guide,</w:t>
      </w:r>
    </w:p>
    <w:p>
      <w:pPr>
        <w:pStyle w:val="ListBullet"/>
        <w:numPr>
          <w:ilvl w:val="0"/>
          <w:numId w:val="2"/>
        </w:numPr>
        <w:rPr/>
      </w:pPr>
      <w:r>
        <w:rPr/>
        <w:t>NERC Operating Manuals as references during normal and emergency operations of the ERCOT System Transmission Grid</w:t>
      </w:r>
    </w:p>
    <w:p>
      <w:pPr>
        <w:pStyle w:val="ListBullet"/>
        <w:numPr>
          <w:ilvl w:val="0"/>
          <w:numId w:val="2"/>
        </w:numPr>
        <w:rPr/>
      </w:pPr>
      <w:r>
        <w:rPr/>
        <w:t>Individual transmission owners Operating Procedures submitted to ERCOT Control Area Authority to identify specific operating problems that could affect operation of the interconnected ERCOT System Transmission Grid.</w:t>
      </w:r>
    </w:p>
    <w:p>
      <w:pPr>
        <w:pStyle w:val="ListBullet"/>
        <w:rPr/>
      </w:pPr>
      <w:r>
        <w:rPr/>
      </w:r>
    </w:p>
    <w:p>
      <w:pPr>
        <w:pStyle w:val="Heading3"/>
        <w:ind w:hanging="0" w:start="0"/>
        <w:rPr>
          <w:b/>
          <w:bCs/>
          <w:color w:val="000000"/>
          <w:u w:val="single"/>
        </w:rPr>
      </w:pPr>
      <w:r>
        <w:rPr>
          <w:b/>
          <w:bCs/>
          <w:color w:val="000000"/>
          <w:u w:val="single"/>
        </w:rPr>
        <w:t>Qualified Scheduling Entities</w:t>
      </w:r>
    </w:p>
    <w:p>
      <w:pPr>
        <w:pStyle w:val="TextBody"/>
        <w:ind w:start="0" w:end="0"/>
        <w:rPr/>
      </w:pPr>
      <w:r>
        <w:rPr/>
        <w:t>Qualified Scheduling Entities (QSE) will provide the primary information interface for market participants with ERCOT Control Area Authority.  Market participants wishing to transfer energy or services during the operating hour from one participant to another, or from generation to load, or from the participant to ERCOT, or from ERCOT to the participant will submit balanced Energy Schedules to the ERCOT Control Area Authority through a Qualified Scheduling Entity.  The Public Utilities Commission of Texas does not regulate qSEs.</w:t>
      </w:r>
    </w:p>
    <w:p>
      <w:pPr>
        <w:pStyle w:val="Heading3"/>
        <w:ind w:hanging="0" w:start="0"/>
        <w:rPr>
          <w:b/>
          <w:bCs/>
          <w:color w:val="000000"/>
          <w:u w:val="single"/>
        </w:rPr>
      </w:pPr>
      <w:r>
        <w:rPr>
          <w:b/>
          <w:bCs/>
          <w:color w:val="000000"/>
          <w:u w:val="single"/>
        </w:rPr>
        <w:t>Transmission Operator (TO)</w:t>
      </w:r>
    </w:p>
    <w:p>
      <w:pPr>
        <w:pStyle w:val="TextBody"/>
        <w:ind w:start="0" w:end="0"/>
        <w:rPr/>
      </w:pPr>
      <w:r>
        <w:rPr/>
        <w:t>Transmission Operators are the subset of Transmission and/or Distribution Service Providers (TDSP) that are charged with continuous communication with ERCOT Control Area Authority and carry out Dispatch Instructions directly or on behalf of represented TDSPs.  TDSPs are regulated by the PUCT.  The Transmission and/or Distribution Service Providers:</w:t>
      </w:r>
    </w:p>
    <w:p>
      <w:pPr>
        <w:pStyle w:val="TextBody"/>
        <w:numPr>
          <w:ilvl w:val="0"/>
          <w:numId w:val="15"/>
        </w:numPr>
        <w:rPr/>
      </w:pPr>
      <w:r>
        <w:rPr/>
        <w:t>Operate and manage the electric transmission facilities between energy sources and the point of delivery,</w:t>
      </w:r>
    </w:p>
    <w:p>
      <w:pPr>
        <w:pStyle w:val="TextBody"/>
        <w:numPr>
          <w:ilvl w:val="0"/>
          <w:numId w:val="15"/>
        </w:numPr>
        <w:rPr/>
      </w:pPr>
      <w:r>
        <w:rPr/>
        <w:t>Monitor the loading of their transmission facilities,</w:t>
      </w:r>
    </w:p>
    <w:p>
      <w:pPr>
        <w:pStyle w:val="TextBody"/>
        <w:numPr>
          <w:ilvl w:val="0"/>
          <w:numId w:val="15"/>
        </w:numPr>
        <w:rPr/>
      </w:pPr>
      <w:r>
        <w:rPr/>
        <w:t>Notify ERCOT CAA of changes to the status of their transmission facilities,</w:t>
      </w:r>
    </w:p>
    <w:p>
      <w:pPr>
        <w:pStyle w:val="TextBody"/>
        <w:numPr>
          <w:ilvl w:val="0"/>
          <w:numId w:val="15"/>
        </w:numPr>
        <w:rPr/>
      </w:pPr>
      <w:r>
        <w:rPr/>
        <w:t>Maintain operational metering, and</w:t>
      </w:r>
    </w:p>
    <w:p>
      <w:pPr>
        <w:pStyle w:val="TextBody"/>
        <w:numPr>
          <w:ilvl w:val="0"/>
          <w:numId w:val="15"/>
        </w:numPr>
        <w:rPr/>
      </w:pPr>
      <w:r>
        <w:rPr/>
        <w:t>Implement Black Start.</w:t>
      </w:r>
    </w:p>
    <w:p>
      <w:pPr>
        <w:pStyle w:val="Heading3"/>
        <w:ind w:hanging="0" w:start="0"/>
        <w:rPr>
          <w:b/>
          <w:bCs/>
          <w:color w:val="000000"/>
          <w:u w:val="single"/>
        </w:rPr>
      </w:pPr>
      <w:r>
        <w:rPr>
          <w:b/>
          <w:bCs/>
          <w:color w:val="000000"/>
          <w:u w:val="single"/>
        </w:rPr>
        <w:t>Resource Entity</w:t>
      </w:r>
    </w:p>
    <w:p>
      <w:pPr>
        <w:pStyle w:val="TextBody"/>
        <w:ind w:start="0" w:end="0"/>
        <w:rPr/>
      </w:pPr>
      <w:r>
        <w:rPr/>
        <w:t>Resource Entities include Power Generation Companies, Opt-in generation, NOIE generation, federal generation facilities and LSEs representing load being used as a resource.</w:t>
      </w:r>
    </w:p>
    <w:p>
      <w:pPr>
        <w:pStyle w:val="TextBody"/>
        <w:ind w:start="0" w:end="0"/>
        <w:rPr/>
      </w:pPr>
      <w:r>
        <w:rPr/>
        <w:t>Any Generation Resource that introduces energy into the ERCOT grid must be represented by a Resource Entity. The sale of the generation produced is negotiated bilaterally with other market participants with the exception of energy produced as ancillary services.  .  The schedule for the power sale is communicated to the QSE that represents the Generation Entity in the ERCOT Market System.  The QSE will communicate an overall schedule for the QSE, including the Generation Entity, to ERCOT.</w:t>
      </w:r>
    </w:p>
    <w:p>
      <w:pPr>
        <w:pStyle w:val="TextBody"/>
        <w:ind w:start="0" w:end="0"/>
        <w:rPr/>
      </w:pPr>
      <w:r>
        <w:rPr/>
        <w:t>PGCs that offer regulation and responsive reserve ancillary service must be directly connected to the QSE for the purpose of receiving a regulation signal in real time.</w:t>
      </w:r>
    </w:p>
    <w:p>
      <w:pPr>
        <w:pStyle w:val="Heading3"/>
        <w:ind w:hanging="0" w:start="0"/>
        <w:rPr>
          <w:b/>
          <w:bCs/>
          <w:color w:val="000000"/>
          <w:u w:val="single"/>
        </w:rPr>
      </w:pPr>
      <w:r>
        <w:rPr>
          <w:b/>
          <w:bCs/>
          <w:color w:val="000000"/>
          <w:u w:val="single"/>
        </w:rPr>
        <w:t>Load Serving Entities (LSE)</w:t>
      </w:r>
    </w:p>
    <w:p>
      <w:pPr>
        <w:pStyle w:val="TextBody"/>
        <w:ind w:start="0" w:end="0"/>
        <w:rPr/>
      </w:pPr>
      <w:r>
        <w:rPr/>
        <w:t>LSEs include Non Opt-in Entities, the Texas General Land Office and Competitive Retailers.  These are the only organizations authorized to sell electricity directly to retail customers.  An LSE will forecast its contracted load and negotiate bilaterally with Resource Entities to obtain the forecasted energy.  The schedule resulting from this negotiation will be communicated to the QSE, who in turn will communicate an overall schedule for the QSE to ERCOT.</w:t>
      </w:r>
    </w:p>
    <w:p>
      <w:pPr>
        <w:pStyle w:val="Normal"/>
        <w:rPr>
          <w:b/>
          <w:bCs/>
          <w:sz w:val="24"/>
          <w:u w:val="single"/>
        </w:rPr>
      </w:pPr>
      <w:r>
        <w:rPr>
          <w:b/>
          <w:bCs/>
          <w:sz w:val="24"/>
          <w:u w:val="single"/>
        </w:rPr>
        <w:t>Open Access Same-Time Information System (OASIS)</w:t>
      </w:r>
    </w:p>
    <w:p>
      <w:pPr>
        <w:pStyle w:val="Normal"/>
        <w:rPr>
          <w:rFonts w:eastAsia="Arial Unicode MS"/>
          <w:sz w:val="24"/>
        </w:rPr>
      </w:pPr>
      <w:r>
        <w:rPr>
          <w:sz w:val="24"/>
        </w:rPr>
        <w:t xml:space="preserve">The primary interface between market participants in ERCOT and the ERCOT Independent System Operator (ISO) is through a system designated in PUCT Rules as an "electronic transmission information network". This system, administered by the ISO, is called the Open Access Same-time Information System (OASIS) in conformance with the name given to similar systems elsewhere in the United States as mandated by the Federal Energy Regulatory Commission (FERC). </w:t>
      </w:r>
    </w:p>
    <w:p>
      <w:pPr>
        <w:pStyle w:val="Normal"/>
        <w:rPr>
          <w:sz w:val="24"/>
        </w:rPr>
      </w:pPr>
      <w:r>
        <w:rPr>
          <w:sz w:val="24"/>
        </w:rPr>
        <w:t>The ISO is effectively a "one stop shop" for all market participants to obtain information about the ERCOT transmission system, access the transmission system and to arrange energy transfers. The OASIS is the door by which market participants gain access to the shop. The OASIS is used to:</w:t>
      </w:r>
    </w:p>
    <w:p>
      <w:pPr>
        <w:pStyle w:val="Normal"/>
        <w:numPr>
          <w:ilvl w:val="0"/>
          <w:numId w:val="6"/>
        </w:numPr>
        <w:rPr>
          <w:sz w:val="24"/>
        </w:rPr>
      </w:pPr>
      <w:r>
        <w:rPr>
          <w:sz w:val="24"/>
        </w:rPr>
        <w:t>Submit requests for Unplanned Transactions to the ISO</w:t>
      </w:r>
    </w:p>
    <w:p>
      <w:pPr>
        <w:pStyle w:val="Normal"/>
        <w:numPr>
          <w:ilvl w:val="0"/>
          <w:numId w:val="6"/>
        </w:numPr>
        <w:rPr>
          <w:sz w:val="24"/>
        </w:rPr>
      </w:pPr>
      <w:r>
        <w:rPr>
          <w:sz w:val="24"/>
        </w:rPr>
        <w:t xml:space="preserve">Receive approval of Unplanned Transactions from the ISO </w:t>
      </w:r>
    </w:p>
    <w:p>
      <w:pPr>
        <w:pStyle w:val="Normal"/>
        <w:numPr>
          <w:ilvl w:val="0"/>
          <w:numId w:val="6"/>
        </w:numPr>
        <w:rPr>
          <w:sz w:val="24"/>
        </w:rPr>
      </w:pPr>
      <w:r>
        <w:rPr>
          <w:sz w:val="24"/>
        </w:rPr>
        <w:t xml:space="preserve">Post information required from Transmission Providers </w:t>
      </w:r>
    </w:p>
    <w:p>
      <w:pPr>
        <w:pStyle w:val="Normal"/>
        <w:numPr>
          <w:ilvl w:val="0"/>
          <w:numId w:val="6"/>
        </w:numPr>
        <w:rPr>
          <w:sz w:val="24"/>
        </w:rPr>
      </w:pPr>
      <w:r>
        <w:rPr>
          <w:sz w:val="24"/>
        </w:rPr>
        <w:t xml:space="preserve">View and download information </w:t>
      </w:r>
    </w:p>
    <w:p>
      <w:pPr>
        <w:pStyle w:val="Normal"/>
        <w:numPr>
          <w:ilvl w:val="0"/>
          <w:numId w:val="6"/>
        </w:numPr>
        <w:rPr>
          <w:sz w:val="24"/>
        </w:rPr>
      </w:pPr>
      <w:r>
        <w:rPr>
          <w:sz w:val="24"/>
        </w:rPr>
        <w:t xml:space="preserve">Provide data for energy accounting </w:t>
      </w:r>
    </w:p>
    <w:p>
      <w:pPr>
        <w:pStyle w:val="Normal"/>
        <w:numPr>
          <w:ilvl w:val="0"/>
          <w:numId w:val="6"/>
        </w:numPr>
        <w:rPr/>
      </w:pPr>
      <w:r>
        <w:rPr>
          <w:sz w:val="24"/>
        </w:rPr>
        <w:t>Post tariffs for Ancillary and Transmission Services</w:t>
      </w:r>
    </w:p>
    <w:p>
      <w:pPr>
        <w:pStyle w:val="Normal"/>
        <w:rPr>
          <w:sz w:val="24"/>
        </w:rPr>
      </w:pPr>
      <w:r>
        <w:rPr>
          <w:sz w:val="24"/>
        </w:rPr>
      </w:r>
    </w:p>
    <w:p>
      <w:pPr>
        <w:pStyle w:val="Normal"/>
        <w:rPr>
          <w:b/>
          <w:bCs/>
          <w:sz w:val="24"/>
          <w:u w:val="single"/>
        </w:rPr>
      </w:pPr>
      <w:r>
        <w:rPr>
          <w:b/>
          <w:bCs/>
          <w:sz w:val="24"/>
          <w:u w:val="single"/>
        </w:rPr>
        <w:t>Scheduling</w:t>
      </w:r>
    </w:p>
    <w:p>
      <w:pPr>
        <w:pStyle w:val="Normal"/>
        <w:rPr>
          <w:sz w:val="24"/>
        </w:rPr>
      </w:pPr>
      <w:r>
        <w:rPr>
          <w:sz w:val="24"/>
        </w:rPr>
        <w:t>ERCOT is responsible for administering the Day Ahead and Adjustment Period Scheduling Processes through which final schedules for energy and Ancillary Services are submitted by QSEs and a current Operating Plan is developed for use in operating the ERCOT System in Real Time. To fulfill its responsibilities with respect to providing information to the market necessary for QSEs to schedule energy and Ancillary Services, ERCOT shall:</w:t>
      </w:r>
    </w:p>
    <w:p>
      <w:pPr>
        <w:pStyle w:val="Normal"/>
        <w:numPr>
          <w:ilvl w:val="0"/>
          <w:numId w:val="12"/>
        </w:numPr>
        <w:rPr>
          <w:sz w:val="24"/>
        </w:rPr>
      </w:pPr>
      <w:r>
        <w:rPr>
          <w:sz w:val="24"/>
        </w:rPr>
        <w:t xml:space="preserve">Post forecasted ERCOT System conditions and Load for the next 7 days, by hour, by Congestion Zone;  </w:t>
      </w:r>
    </w:p>
    <w:p>
      <w:pPr>
        <w:pStyle w:val="Normal"/>
        <w:numPr>
          <w:ilvl w:val="0"/>
          <w:numId w:val="12"/>
        </w:numPr>
        <w:rPr>
          <w:sz w:val="24"/>
        </w:rPr>
      </w:pPr>
      <w:r>
        <w:rPr>
          <w:sz w:val="24"/>
        </w:rPr>
        <w:t>Post forecasted ERCOT System conditions and Load for the next seven (7) days by hour, by Congestion Zone. ERCOT will also post any area Load forecasts that were used to create the system Load forecast;</w:t>
      </w:r>
    </w:p>
    <w:p>
      <w:pPr>
        <w:pStyle w:val="Normal"/>
        <w:numPr>
          <w:ilvl w:val="0"/>
          <w:numId w:val="12"/>
        </w:numPr>
        <w:rPr>
          <w:sz w:val="24"/>
        </w:rPr>
      </w:pPr>
      <w:r>
        <w:rPr>
          <w:sz w:val="24"/>
        </w:rPr>
        <w:t>Post forecasted Transmission Loss Factors and Distribution Loss Factors;</w:t>
      </w:r>
    </w:p>
    <w:p>
      <w:pPr>
        <w:pStyle w:val="Normal"/>
        <w:numPr>
          <w:ilvl w:val="0"/>
          <w:numId w:val="12"/>
        </w:numPr>
        <w:rPr>
          <w:sz w:val="24"/>
        </w:rPr>
      </w:pPr>
      <w:r>
        <w:rPr>
          <w:sz w:val="24"/>
        </w:rPr>
        <w:t>Post Load Profiles for non-IDR metered Customers;</w:t>
      </w:r>
    </w:p>
    <w:p>
      <w:pPr>
        <w:pStyle w:val="Normal"/>
        <w:numPr>
          <w:ilvl w:val="0"/>
          <w:numId w:val="12"/>
        </w:numPr>
        <w:rPr>
          <w:sz w:val="24"/>
        </w:rPr>
      </w:pPr>
      <w:r>
        <w:rPr>
          <w:sz w:val="24"/>
        </w:rPr>
        <w:t xml:space="preserve">Validate the QSEs’ energy schedules and make adjustments as necessary in accordance with the validation process; </w:t>
      </w:r>
    </w:p>
    <w:p>
      <w:pPr>
        <w:pStyle w:val="Normal"/>
        <w:numPr>
          <w:ilvl w:val="0"/>
          <w:numId w:val="12"/>
        </w:numPr>
        <w:rPr>
          <w:sz w:val="24"/>
        </w:rPr>
      </w:pPr>
      <w:r>
        <w:rPr>
          <w:sz w:val="24"/>
        </w:rPr>
        <w:t>Validate the QSEs’ Ancillary Service schedules and Self-Arranged Ancillary Service Resources;</w:t>
      </w:r>
    </w:p>
    <w:p>
      <w:pPr>
        <w:pStyle w:val="Normal"/>
        <w:numPr>
          <w:ilvl w:val="0"/>
          <w:numId w:val="12"/>
        </w:numPr>
        <w:rPr>
          <w:sz w:val="24"/>
          <w:lang w:val="es-CO"/>
        </w:rPr>
      </w:pPr>
      <w:r>
        <w:rPr>
          <w:sz w:val="24"/>
        </w:rPr>
        <w:t xml:space="preserve">Only accept schedules from a QSE; and </w:t>
      </w:r>
    </w:p>
    <w:p>
      <w:pPr>
        <w:pStyle w:val="Normal"/>
        <w:numPr>
          <w:ilvl w:val="0"/>
          <w:numId w:val="12"/>
        </w:numPr>
        <w:rPr>
          <w:sz w:val="24"/>
          <w:lang w:val="es-CO"/>
        </w:rPr>
      </w:pPr>
      <w:r>
        <w:rPr>
          <w:sz w:val="24"/>
        </w:rPr>
        <w:t>Require all Loads and Resources be represented by a QSE.</w:t>
      </w:r>
    </w:p>
    <w:p>
      <w:pPr>
        <w:pStyle w:val="DefaultText"/>
        <w:rPr>
          <w:sz w:val="24"/>
          <w:lang w:val="es-CO"/>
        </w:rPr>
      </w:pPr>
      <w:r>
        <w:rPr>
          <w:sz w:val="24"/>
          <w:lang w:val="es-CO"/>
        </w:rPr>
      </w:r>
    </w:p>
    <w:p>
      <w:pPr>
        <w:pStyle w:val="Heading8"/>
        <w:tabs>
          <w:tab w:val="clear" w:pos="360"/>
        </w:tabs>
        <w:ind w:hanging="0" w:start="0"/>
        <w:rPr>
          <w:lang w:val="es-CO"/>
        </w:rPr>
      </w:pPr>
      <w:r>
        <w:rPr>
          <w:lang w:val="es-CO"/>
        </w:rPr>
        <w:t>Ancillary Services</w:t>
      </w:r>
    </w:p>
    <w:p>
      <w:pPr>
        <w:pStyle w:val="Bullet"/>
        <w:numPr>
          <w:ilvl w:val="0"/>
          <w:numId w:val="21"/>
        </w:numPr>
        <w:spacing w:before="0" w:after="0"/>
        <w:rPr/>
      </w:pPr>
      <w:r>
        <w:rPr/>
        <w:t>ERCOT through its Ancillary Service function shall develop the Operating Day Ancillary Service Plan for the ERCOT System and allocate Ancillary Service Obligations to individual LSEs, aggregated to the QSE level. Unless otherwise provide in these Protocols, a QSEs allocation for Ancillary Services obligation will be determined for each hour according to that LSE’s Load Ratio Share computation by ERCOT. The LSE Ancillary Service allocation shall be the hourly Load Ratio Share of the Load from the available settlement data, as defined in Section 9.2, Settlement Charges, for the same hour and day of the prior week multiplied by the quantity of the service in the Operating Day AS Plan</w:t>
      </w:r>
    </w:p>
    <w:p>
      <w:pPr>
        <w:pStyle w:val="Bullet"/>
        <w:numPr>
          <w:ilvl w:val="0"/>
          <w:numId w:val="21"/>
        </w:numPr>
        <w:spacing w:before="0" w:after="0"/>
        <w:rPr/>
      </w:pPr>
      <w:r>
        <w:rPr/>
        <w:t xml:space="preserve">ERCOT shall procure required Ancillary Services not self-arranged by QSEs. </w:t>
      </w:r>
    </w:p>
    <w:p>
      <w:pPr>
        <w:pStyle w:val="Bullet"/>
        <w:numPr>
          <w:ilvl w:val="0"/>
          <w:numId w:val="21"/>
        </w:numPr>
        <w:spacing w:before="0" w:after="0"/>
        <w:rPr/>
      </w:pPr>
      <w:r>
        <w:rPr/>
        <w:t>ERCOT accepts Ancillary Service bids only from QSEs.</w:t>
      </w:r>
    </w:p>
    <w:p>
      <w:pPr>
        <w:pStyle w:val="Bullet"/>
        <w:numPr>
          <w:ilvl w:val="0"/>
          <w:numId w:val="21"/>
        </w:numPr>
        <w:spacing w:before="0" w:after="0"/>
        <w:rPr/>
      </w:pPr>
      <w:r>
        <w:rPr/>
        <w:t>ERCOT shall allow the same capacity to be bid as multiple Ancillary Services types recognizing that this capacity may only be selected for one service.</w:t>
      </w:r>
    </w:p>
    <w:p>
      <w:pPr>
        <w:pStyle w:val="Bullet"/>
        <w:numPr>
          <w:ilvl w:val="0"/>
          <w:numId w:val="21"/>
        </w:numPr>
        <w:spacing w:before="0" w:after="0"/>
        <w:rPr/>
      </w:pPr>
      <w:r>
        <w:rPr/>
        <w:t>ERCOT shall ensure provision of Ancillary Services to all ERCOT System Market Participants in accordance with the Protocols.</w:t>
      </w:r>
    </w:p>
    <w:p>
      <w:pPr>
        <w:pStyle w:val="Bullet"/>
        <w:numPr>
          <w:ilvl w:val="0"/>
          <w:numId w:val="21"/>
        </w:numPr>
        <w:spacing w:before="0" w:after="0"/>
        <w:rPr/>
      </w:pPr>
      <w:r>
        <w:rPr/>
        <w:t>ERCOT shall not discriminate when obtaining Ancillary Services from QSEs submitting Ancillary Service bids.  ERCOT shall not discriminate between Self-Arranged Ancillary Services and ERCOT-procured Ancillary Services when dispatching Ancillary Services.</w:t>
      </w:r>
    </w:p>
    <w:p>
      <w:pPr>
        <w:pStyle w:val="Bullet"/>
        <w:numPr>
          <w:ilvl w:val="0"/>
          <w:numId w:val="21"/>
        </w:numPr>
        <w:spacing w:before="0" w:after="0"/>
        <w:rPr/>
      </w:pPr>
      <w:r>
        <w:rPr/>
        <w:t xml:space="preserve">For AS that are not self-arranged, ERCOT shall procure any additional Resources ERCOT requires during the Day-Ahead Scheduling Process, the Adjustment Period process, or the Operating Period.  </w:t>
      </w:r>
    </w:p>
    <w:p>
      <w:pPr>
        <w:pStyle w:val="Bullet"/>
        <w:numPr>
          <w:ilvl w:val="0"/>
          <w:numId w:val="21"/>
        </w:numPr>
        <w:spacing w:before="0" w:after="0"/>
        <w:rPr/>
      </w:pPr>
      <w:r>
        <w:rPr/>
        <w:t>ERCOT shall procure Resources that are used to provide Reliability Must-Run Service or Black Start Service through longer-term Agreements.</w:t>
      </w:r>
    </w:p>
    <w:p>
      <w:pPr>
        <w:pStyle w:val="Bullet"/>
        <w:numPr>
          <w:ilvl w:val="0"/>
          <w:numId w:val="21"/>
        </w:numPr>
        <w:spacing w:before="0" w:after="0"/>
        <w:rPr/>
      </w:pPr>
      <w:r>
        <w:rPr/>
        <w:t xml:space="preserve">Following submission of QSE self-arranged schedules, ERCOT will identify the remaining amount of Ancillary Services that must be acquired in order to complete ERCOT’s Day-Ahead Ancillary Services Plan. Regulation Up, Regulation Down, Responsive, and Non-Spinning services will be procured by ERCOT on the timeline described in Section 4, Scheduling. </w:t>
      </w:r>
    </w:p>
    <w:p>
      <w:pPr>
        <w:pStyle w:val="Bullet"/>
        <w:numPr>
          <w:ilvl w:val="0"/>
          <w:numId w:val="21"/>
        </w:numPr>
        <w:spacing w:before="0" w:after="0"/>
        <w:rPr/>
      </w:pPr>
      <w:r>
        <w:rPr/>
        <w:t xml:space="preserve">ERCOT will not profit financially from the market. ERCOT will follow the Protocols with respect to the procurement of Ancillary Services and will not otherwise take actions regarding Ancillary Services with the intent to influence, set or control market prices.  </w:t>
      </w:r>
    </w:p>
    <w:p>
      <w:pPr>
        <w:pStyle w:val="Bullet"/>
        <w:numPr>
          <w:ilvl w:val="0"/>
          <w:numId w:val="21"/>
        </w:numPr>
        <w:spacing w:before="0" w:after="0"/>
        <w:rPr/>
      </w:pPr>
      <w:r>
        <w:rPr/>
        <w:t xml:space="preserve">ERCOT will provide that Market Clearing Prices are posted on the Market Information System (MIS) in a timely manner as stated in Section 12.4.1, Scheduling Information, of the Protocols. ERCOT will monitor Market Clearing Prices for errors and will “flag” for further review questionable prices before posting, and make adjustments or notations in the posting if there are conditions that cause the price to be questionable.  ERCOT may only correct the price consistent with these Protocols.  </w:t>
      </w:r>
    </w:p>
    <w:p>
      <w:pPr>
        <w:pStyle w:val="Bullet"/>
        <w:numPr>
          <w:ilvl w:val="0"/>
          <w:numId w:val="21"/>
        </w:numPr>
        <w:spacing w:before="0" w:after="0"/>
        <w:rPr/>
      </w:pPr>
      <w:r>
        <w:rPr/>
        <w:t>ERCOT shall post the aggregated ERCOT AS Bid Stacks in accordance with Section 12.4.2, Ancillary Service Related Information of the Protocols.</w:t>
      </w:r>
    </w:p>
    <w:p>
      <w:pPr>
        <w:pStyle w:val="Normal"/>
        <w:numPr>
          <w:ilvl w:val="0"/>
          <w:numId w:val="21"/>
        </w:numPr>
        <w:rPr>
          <w:sz w:val="24"/>
        </w:rPr>
      </w:pPr>
      <w:r>
        <w:rPr>
          <w:sz w:val="24"/>
        </w:rPr>
        <w:t>ERCOT will, through procurement processes specified in the Protocols, procure Ancillary Services as required and charge QSEs for those Ancillary Services in accordance with these Protocols.</w:t>
      </w:r>
    </w:p>
    <w:p>
      <w:pPr>
        <w:pStyle w:val="Bullet"/>
        <w:numPr>
          <w:ilvl w:val="0"/>
          <w:numId w:val="21"/>
        </w:numPr>
        <w:spacing w:before="0" w:after="0"/>
        <w:rPr/>
      </w:pPr>
      <w:r>
        <w:rPr/>
        <w:t xml:space="preserve">ERCOT will ensure ERCOT System reliability and resource adequacy but will afford the market a reasonable opportunity to supply reliability solutions. </w:t>
      </w:r>
    </w:p>
    <w:p>
      <w:pPr>
        <w:pStyle w:val="Bullet"/>
        <w:numPr>
          <w:ilvl w:val="0"/>
          <w:numId w:val="21"/>
        </w:numPr>
        <w:spacing w:before="0" w:after="0"/>
        <w:rPr/>
      </w:pPr>
      <w:r>
        <w:rPr/>
        <w:t>ERCOT will not substitute one type of Ancillary Service for another.</w:t>
      </w:r>
    </w:p>
    <w:p>
      <w:pPr>
        <w:pStyle w:val="Normal"/>
        <w:numPr>
          <w:ilvl w:val="0"/>
          <w:numId w:val="21"/>
        </w:numPr>
        <w:rPr>
          <w:sz w:val="24"/>
        </w:rPr>
      </w:pPr>
      <w:r>
        <w:rPr>
          <w:sz w:val="24"/>
        </w:rPr>
        <w:t xml:space="preserve">ERCOT shall strive to use Market Solutions to manage Congestion prior to using OOMC or RMR.  </w:t>
      </w:r>
    </w:p>
    <w:p>
      <w:pPr>
        <w:pStyle w:val="Bullet"/>
        <w:numPr>
          <w:ilvl w:val="0"/>
          <w:numId w:val="21"/>
        </w:numPr>
        <w:spacing w:before="0" w:after="0"/>
        <w:rPr/>
      </w:pPr>
      <w:r>
        <w:rPr/>
        <w:t>ERCOT will make reasonable efforts to minimize the use of OOMC or contracted RMR Facilities.</w:t>
      </w:r>
    </w:p>
    <w:p>
      <w:pPr>
        <w:pStyle w:val="BodyText2"/>
        <w:numPr>
          <w:ilvl w:val="0"/>
          <w:numId w:val="21"/>
        </w:numPr>
        <w:rPr/>
      </w:pPr>
      <w:r>
        <w:rPr/>
        <w:t>ERCOT will provide timely information to those Resource units providing OOMC and RMR services as to the specific use of each unit dispatched.</w:t>
      </w:r>
    </w:p>
    <w:p>
      <w:pPr>
        <w:pStyle w:val="BodyText2"/>
        <w:numPr>
          <w:ilvl w:val="0"/>
          <w:numId w:val="21"/>
        </w:numPr>
        <w:rPr/>
      </w:pPr>
      <w:r>
        <w:rPr/>
      </w:r>
    </w:p>
    <w:p>
      <w:pPr>
        <w:pStyle w:val="Heading2"/>
        <w:ind w:hanging="0" w:start="0"/>
        <w:rPr>
          <w:u w:val="single"/>
        </w:rPr>
      </w:pPr>
      <w:r>
        <w:rPr>
          <w:u w:val="single"/>
        </w:rPr>
        <w:t>Scheduling Interfaces with ERCOT</w:t>
      </w:r>
    </w:p>
    <w:p>
      <w:pPr>
        <w:pStyle w:val="Heading3"/>
        <w:ind w:hanging="0" w:start="0"/>
        <w:rPr>
          <w:color w:val="000000"/>
        </w:rPr>
      </w:pPr>
      <w:r>
        <w:rPr>
          <w:color w:val="000000"/>
        </w:rPr>
        <w:t>Scheduling-Related Duties of Qualified Scheduling Entities</w:t>
      </w:r>
    </w:p>
    <w:p>
      <w:pPr>
        <w:pStyle w:val="TextBody"/>
        <w:ind w:start="0" w:end="0"/>
        <w:rPr/>
      </w:pPr>
      <w:r>
        <w:rPr/>
        <w:t xml:space="preserve">QSEs must submit schedules that identify Obligations and Supply.  QSEs must submit Balanced Schedules for each Settlement Interval.  For a Schedule to be balanced total Energy Obligation must equal total Energy Supply and total Ancillary Services Obligation for each service type must meet total Ancillary Services Supply for each service type.  </w:t>
      </w:r>
    </w:p>
    <w:p>
      <w:pPr>
        <w:pStyle w:val="TextBody"/>
        <w:ind w:start="0" w:end="0"/>
        <w:rPr/>
      </w:pPr>
      <w:r>
        <w:rPr/>
        <w:t>It is necessary to balance Ancillary Services schedules, as well as, Energy Schedules.  In order to do so, the QSE must indicate on its schedule the amount of Ancillary Services that will be purchased from the ERCOT Ancillary Services Market.</w:t>
      </w:r>
    </w:p>
    <w:p>
      <w:pPr>
        <w:pStyle w:val="Normal"/>
        <w:rPr>
          <w:sz w:val="24"/>
        </w:rPr>
      </w:pPr>
      <w:r>
        <w:rPr>
          <w:sz w:val="24"/>
        </w:rPr>
        <w:t xml:space="preserve">Included in each Balanced Schedule is:  </w:t>
      </w:r>
    </w:p>
    <w:p>
      <w:pPr>
        <w:pStyle w:val="Normal"/>
        <w:numPr>
          <w:ilvl w:val="0"/>
          <w:numId w:val="13"/>
        </w:numPr>
        <w:rPr>
          <w:sz w:val="24"/>
        </w:rPr>
      </w:pPr>
      <w:r>
        <w:rPr>
          <w:sz w:val="24"/>
        </w:rPr>
        <w:t xml:space="preserve">Energy to be produced by Resources that the QSE represents, by Congestion Zone;  </w:t>
      </w:r>
    </w:p>
    <w:p>
      <w:pPr>
        <w:pStyle w:val="Normal"/>
        <w:numPr>
          <w:ilvl w:val="0"/>
          <w:numId w:val="13"/>
        </w:numPr>
        <w:rPr>
          <w:sz w:val="24"/>
        </w:rPr>
      </w:pPr>
      <w:r>
        <w:rPr>
          <w:sz w:val="24"/>
        </w:rPr>
        <w:t xml:space="preserve">Energy to be consumed by Loads that the QSE represents (including T&amp;D Losses) by Congestion Zone;  </w:t>
      </w:r>
    </w:p>
    <w:p>
      <w:pPr>
        <w:pStyle w:val="Normal"/>
        <w:numPr>
          <w:ilvl w:val="0"/>
          <w:numId w:val="13"/>
        </w:numPr>
        <w:rPr>
          <w:sz w:val="24"/>
        </w:rPr>
      </w:pPr>
      <w:r>
        <w:rPr>
          <w:sz w:val="24"/>
        </w:rPr>
        <w:t>ERCOT allocated Ancillary Services Obligations for the QSE;</w:t>
      </w:r>
    </w:p>
    <w:p>
      <w:pPr>
        <w:pStyle w:val="Normal"/>
        <w:numPr>
          <w:ilvl w:val="0"/>
          <w:numId w:val="13"/>
        </w:numPr>
        <w:rPr>
          <w:sz w:val="24"/>
        </w:rPr>
      </w:pPr>
      <w:r>
        <w:rPr>
          <w:sz w:val="24"/>
        </w:rPr>
        <w:t>Any energy and Ancillary Services scheduled to or from other QSEs or ERCOT (e.g. Inter-QSE Trades); and</w:t>
      </w:r>
    </w:p>
    <w:p>
      <w:pPr>
        <w:pStyle w:val="Normal"/>
        <w:numPr>
          <w:ilvl w:val="0"/>
          <w:numId w:val="13"/>
        </w:numPr>
        <w:rPr>
          <w:sz w:val="24"/>
        </w:rPr>
      </w:pPr>
      <w:r>
        <w:rPr>
          <w:sz w:val="24"/>
        </w:rPr>
        <w:t xml:space="preserve">Any Self-Arranged Ancillary Services; </w:t>
      </w:r>
    </w:p>
    <w:p>
      <w:pPr>
        <w:pStyle w:val="DefaultText"/>
        <w:rPr>
          <w:sz w:val="24"/>
        </w:rPr>
      </w:pPr>
      <w:r>
        <w:rPr>
          <w:sz w:val="24"/>
        </w:rPr>
      </w:r>
    </w:p>
    <w:p>
      <w:pPr>
        <w:pStyle w:val="Heading8"/>
        <w:tabs>
          <w:tab w:val="clear" w:pos="360"/>
        </w:tabs>
        <w:ind w:hanging="0" w:start="0"/>
        <w:rPr/>
      </w:pPr>
      <w:r>
        <w:rPr/>
        <w:t>Operations of the Qualified Scheduling Entity</w:t>
      </w:r>
    </w:p>
    <w:p>
      <w:pPr>
        <w:pStyle w:val="Normal"/>
        <w:rPr>
          <w:sz w:val="24"/>
        </w:rPr>
      </w:pPr>
      <w:r>
        <w:rPr>
          <w:sz w:val="24"/>
        </w:rPr>
        <w:t xml:space="preserve">Scheduling Center Requirement. A QSE shall maintain a 24-hour, seven-day-per-week scheduling center with qualified personnel for the purposes of communicating with ERCOT for scheduling purposes and for deploying the QSE’s Ancillary Services in Real Time. </w:t>
      </w:r>
    </w:p>
    <w:p>
      <w:pPr>
        <w:pStyle w:val="Normal"/>
        <w:rPr>
          <w:sz w:val="24"/>
        </w:rPr>
      </w:pPr>
      <w:r>
        <w:rPr>
          <w:sz w:val="24"/>
        </w:rPr>
        <w:t xml:space="preserve">QSE Representative. Each QSE shall, for the duration of the scheduling process and settlement period for which the QSE has submitted schedules to ERCOT, designate a representative who shall be responsible for operational communications and who shall have sufficient authority to commit and bind the QSE. </w:t>
      </w:r>
    </w:p>
    <w:p>
      <w:pPr>
        <w:pStyle w:val="Normal"/>
        <w:rPr>
          <w:sz w:val="24"/>
        </w:rPr>
      </w:pPr>
      <w:r>
        <w:rPr>
          <w:sz w:val="24"/>
        </w:rPr>
      </w:r>
    </w:p>
    <w:p>
      <w:pPr>
        <w:pStyle w:val="Heading4"/>
        <w:rPr>
          <w:b/>
          <w:bCs/>
          <w:u w:val="single"/>
        </w:rPr>
      </w:pPr>
      <w:r>
        <w:rPr>
          <w:b/>
          <w:bCs/>
          <w:u w:val="single"/>
        </w:rPr>
        <w:t>Requirement for Balanced Schedules</w:t>
      </w:r>
    </w:p>
    <w:p>
      <w:pPr>
        <w:pStyle w:val="Normal"/>
        <w:rPr/>
      </w:pPr>
      <w:r>
        <w:rPr>
          <w:sz w:val="24"/>
        </w:rPr>
        <w:t xml:space="preserve">A QSE shall submit to ERCOT only Balanced Schedules, for both energy and Ancillary Services, in the Day Ahead Scheduling Process and the Adjustment Period. If a QSE submits a schedule that is not a Balanced Schedule, ERCOT shall reject that schedule in accordance with Protocols, Section 4.4.13, </w:t>
      </w:r>
      <w:r>
        <w:rPr>
          <w:sz w:val="24"/>
          <w:lang w:val="es-CO"/>
        </w:rPr>
        <w:t xml:space="preserve">ERCOT </w:t>
      </w:r>
      <w:r>
        <w:rPr>
          <w:sz w:val="24"/>
        </w:rPr>
        <w:t>Day Ahead Ancillary Services Procurement Process.</w:t>
      </w:r>
    </w:p>
    <w:p>
      <w:pPr>
        <w:pStyle w:val="Normal"/>
        <w:rPr>
          <w:sz w:val="24"/>
        </w:rPr>
      </w:pPr>
      <w:r>
        <w:rPr>
          <w:sz w:val="24"/>
        </w:rPr>
      </w:r>
    </w:p>
    <w:p>
      <w:pPr>
        <w:pStyle w:val="FootnoteText"/>
        <w:rPr>
          <w:sz w:val="24"/>
        </w:rPr>
      </w:pPr>
      <w:r>
        <w:rPr>
          <w:sz w:val="24"/>
        </w:rPr>
      </w:r>
    </w:p>
    <w:p>
      <w:pPr>
        <w:pStyle w:val="DefaultText"/>
        <w:rPr>
          <w:b/>
          <w:bCs/>
        </w:rPr>
      </w:pPr>
      <w:r>
        <w:rPr>
          <w:b/>
          <w:bCs/>
        </w:rPr>
        <w:t>SOUTHWEST POWER POOL (SPP)</w:t>
      </w:r>
    </w:p>
    <w:p>
      <w:pPr>
        <w:pStyle w:val="BodyText2"/>
        <w:rPr/>
      </w:pPr>
      <w:r>
        <w:rPr/>
        <w:t>Today, the SPP Tariff offers one-stop shopping for regional transmission service. Customers look to SPP for multi-system transmission within the SPP region, rather than submitting requests to multiple transmission owners. SPP processes the requests, determines available transmission capability (ATC), executes service agreements, and determines any applicable discounts. The regional tariff enhanced the competitive environment by eliminating rate “pancaking” and improving non-discriminatory access to transmission services.</w:t>
      </w:r>
    </w:p>
    <w:p>
      <w:pPr>
        <w:pStyle w:val="Normal"/>
        <w:rPr>
          <w:sz w:val="24"/>
        </w:rPr>
      </w:pPr>
      <w:r>
        <w:rPr>
          <w:sz w:val="24"/>
        </w:rPr>
        <w:t>By the end of 2001, SPP will have added system scheduling, Energy Imbalance Service market operation, and market settlement functions, to its roles of independent regional security coordinator and tariff administrator.</w:t>
      </w:r>
    </w:p>
    <w:p>
      <w:pPr>
        <w:pStyle w:val="DefaultText"/>
        <w:rPr>
          <w:b/>
          <w:bCs/>
          <w:sz w:val="24"/>
        </w:rPr>
      </w:pPr>
      <w:r>
        <w:rPr>
          <w:b/>
          <w:bCs/>
          <w:sz w:val="24"/>
        </w:rPr>
      </w:r>
    </w:p>
    <w:p>
      <w:pPr>
        <w:pStyle w:val="BodyText2"/>
        <w:rPr/>
      </w:pPr>
      <w:r>
        <w:rPr/>
        <w:t>In December 1999, FERC issued Order 2000 for the purpose of advancing the formation of RTOs to promote open and fair access to transmission services for all market participants, and make the industry more competitive. It requires that all transmission owners place their transmission facilities under the control of an RTO. SPP filed for recognition as an RTO, believing it exhibits the four primary characteristics of an RTO:</w:t>
      </w:r>
    </w:p>
    <w:p>
      <w:pPr>
        <w:pStyle w:val="Normal"/>
        <w:numPr>
          <w:ilvl w:val="0"/>
          <w:numId w:val="26"/>
        </w:numPr>
        <w:rPr>
          <w:b/>
          <w:bCs/>
          <w:sz w:val="24"/>
        </w:rPr>
      </w:pPr>
      <w:r>
        <w:rPr>
          <w:b/>
          <w:bCs/>
          <w:sz w:val="24"/>
        </w:rPr>
        <w:t>Independence</w:t>
      </w:r>
    </w:p>
    <w:p>
      <w:pPr>
        <w:pStyle w:val="Normal"/>
        <w:ind w:start="720" w:end="0"/>
        <w:rPr>
          <w:sz w:val="24"/>
        </w:rPr>
      </w:pPr>
      <w:r>
        <w:rPr>
          <w:sz w:val="24"/>
        </w:rPr>
        <w:t>SPP is independent of any market participant or class of participants. It has the right to file any changes to the rates, terms and conditions of the Tariff to which its Board of Directors agrees.</w:t>
      </w:r>
    </w:p>
    <w:p>
      <w:pPr>
        <w:pStyle w:val="Heading5"/>
        <w:numPr>
          <w:ilvl w:val="0"/>
          <w:numId w:val="26"/>
        </w:numPr>
        <w:rPr>
          <w:b/>
          <w:bCs/>
          <w:color w:val="000000"/>
        </w:rPr>
      </w:pPr>
      <w:r>
        <w:rPr>
          <w:b/>
          <w:bCs/>
          <w:color w:val="000000"/>
        </w:rPr>
        <w:t>Scope and Configuration</w:t>
      </w:r>
    </w:p>
    <w:p>
      <w:pPr>
        <w:pStyle w:val="BodyText2"/>
        <w:ind w:start="720" w:end="0"/>
        <w:rPr/>
      </w:pPr>
      <w:r>
        <w:rPr/>
        <w:t>SPP has sufficient scope and configuration to permit it to maintain reliability, to effectively perform its functions, and to support efficient and non-discriminatory power markets. It is comparable, in terms of generation capacity, control area peak load, geographical span, and miles of transmission to other presently operating Independent System Operators (ISOs), including California-ISO, ERCOT, PJM, ISO-New England and New York ISO.</w:t>
      </w:r>
    </w:p>
    <w:p>
      <w:pPr>
        <w:pStyle w:val="Heading5"/>
        <w:numPr>
          <w:ilvl w:val="0"/>
          <w:numId w:val="26"/>
        </w:numPr>
        <w:rPr>
          <w:b/>
          <w:bCs/>
          <w:color w:val="000000"/>
        </w:rPr>
      </w:pPr>
      <w:r>
        <w:rPr>
          <w:b/>
          <w:bCs/>
          <w:color w:val="000000"/>
        </w:rPr>
        <w:t>Operational Authority</w:t>
      </w:r>
    </w:p>
    <w:p>
      <w:pPr>
        <w:pStyle w:val="Normal"/>
        <w:ind w:start="720" w:end="0"/>
        <w:rPr>
          <w:sz w:val="24"/>
        </w:rPr>
      </w:pPr>
      <w:r>
        <w:rPr>
          <w:sz w:val="24"/>
        </w:rPr>
        <w:t>SPP has operational authority for all transmission facilities under its control, although it will not operate a single control area immediately. As an RTO, it will have the capability to administer transmission service, schedule transactions, determine ATC, review maintenance requests, monitor actions by market participants and transmission owners, monitor system loadings and voltages, and order specific actions as required to preserve system reliability.</w:t>
      </w:r>
    </w:p>
    <w:p>
      <w:pPr>
        <w:pStyle w:val="Heading5"/>
        <w:numPr>
          <w:ilvl w:val="0"/>
          <w:numId w:val="26"/>
        </w:numPr>
        <w:rPr>
          <w:b/>
          <w:bCs/>
          <w:color w:val="000000"/>
        </w:rPr>
      </w:pPr>
      <w:r>
        <w:rPr>
          <w:b/>
          <w:bCs/>
          <w:color w:val="000000"/>
        </w:rPr>
        <w:t>Short-term Reliability</w:t>
      </w:r>
    </w:p>
    <w:p>
      <w:pPr>
        <w:pStyle w:val="Normal"/>
        <w:ind w:start="720" w:end="0"/>
        <w:rPr>
          <w:sz w:val="24"/>
        </w:rPr>
      </w:pPr>
      <w:r>
        <w:rPr>
          <w:sz w:val="24"/>
        </w:rPr>
        <w:t>The SPP RTO will have the capability and exclusive authority to receive, confirm, and implement all interchange schedules. It will also have the right to order re-dispatch of any generator for the reliable operation of the transmission system.</w:t>
      </w:r>
    </w:p>
    <w:p>
      <w:pPr>
        <w:pStyle w:val="Normal"/>
        <w:ind w:start="720" w:end="0"/>
        <w:rPr>
          <w:sz w:val="24"/>
        </w:rPr>
      </w:pPr>
      <w:r>
        <w:rPr>
          <w:sz w:val="24"/>
        </w:rPr>
      </w:r>
    </w:p>
    <w:p>
      <w:pPr>
        <w:pStyle w:val="Normal"/>
        <w:rPr>
          <w:sz w:val="24"/>
        </w:rPr>
      </w:pPr>
      <w:r>
        <w:rPr>
          <w:sz w:val="24"/>
        </w:rPr>
        <w:t>Additionally, SPP has demonstrated the characteristics of an open architecture through its willingness to accommodate other transmission organizations to create a new structure for its RTO. For example, SPP redesigned its structure in order to accommodate the Entergy transmission company.</w:t>
      </w:r>
    </w:p>
    <w:p>
      <w:pPr>
        <w:pStyle w:val="DefaultText"/>
        <w:rPr>
          <w:b/>
          <w:bCs/>
          <w:sz w:val="24"/>
        </w:rPr>
      </w:pPr>
      <w:r>
        <w:rPr>
          <w:b/>
          <w:bCs/>
          <w:sz w:val="24"/>
        </w:rPr>
      </w:r>
    </w:p>
    <w:p>
      <w:pPr>
        <w:pStyle w:val="Normal"/>
        <w:rPr>
          <w:sz w:val="24"/>
        </w:rPr>
      </w:pPr>
      <w:r>
        <w:rPr>
          <w:sz w:val="24"/>
        </w:rPr>
        <w:t>SPP is capable of performing the eight supporting functions of an RTO, as outlined in FERC Order 2000:</w:t>
      </w:r>
    </w:p>
    <w:p>
      <w:pPr>
        <w:pStyle w:val="DefaultText"/>
        <w:numPr>
          <w:ilvl w:val="1"/>
          <w:numId w:val="7"/>
        </w:numPr>
        <w:rPr/>
      </w:pPr>
      <w:r>
        <w:rPr/>
        <w:t>Tariff Administration</w:t>
      </w:r>
    </w:p>
    <w:p>
      <w:pPr>
        <w:pStyle w:val="Normal"/>
        <w:numPr>
          <w:ilvl w:val="1"/>
          <w:numId w:val="7"/>
        </w:numPr>
        <w:rPr>
          <w:sz w:val="24"/>
        </w:rPr>
      </w:pPr>
      <w:r>
        <w:rPr>
          <w:sz w:val="24"/>
        </w:rPr>
        <w:t>Congestion Management</w:t>
      </w:r>
    </w:p>
    <w:p>
      <w:pPr>
        <w:pStyle w:val="Normal"/>
        <w:numPr>
          <w:ilvl w:val="1"/>
          <w:numId w:val="7"/>
        </w:numPr>
        <w:rPr>
          <w:sz w:val="24"/>
        </w:rPr>
      </w:pPr>
      <w:r>
        <w:rPr>
          <w:sz w:val="24"/>
        </w:rPr>
        <w:t>Parallel Path Flows</w:t>
      </w:r>
    </w:p>
    <w:p>
      <w:pPr>
        <w:pStyle w:val="Normal"/>
        <w:numPr>
          <w:ilvl w:val="1"/>
          <w:numId w:val="7"/>
        </w:numPr>
        <w:rPr>
          <w:sz w:val="24"/>
        </w:rPr>
      </w:pPr>
      <w:r>
        <w:rPr>
          <w:sz w:val="24"/>
        </w:rPr>
        <w:t>Ancillary Services</w:t>
      </w:r>
    </w:p>
    <w:p>
      <w:pPr>
        <w:pStyle w:val="Normal"/>
        <w:numPr>
          <w:ilvl w:val="1"/>
          <w:numId w:val="7"/>
        </w:numPr>
        <w:rPr>
          <w:sz w:val="24"/>
        </w:rPr>
      </w:pPr>
      <w:r>
        <w:rPr>
          <w:sz w:val="24"/>
        </w:rPr>
        <w:t>OASIS</w:t>
      </w:r>
    </w:p>
    <w:p>
      <w:pPr>
        <w:pStyle w:val="Normal"/>
        <w:numPr>
          <w:ilvl w:val="1"/>
          <w:numId w:val="7"/>
        </w:numPr>
        <w:rPr>
          <w:sz w:val="24"/>
        </w:rPr>
      </w:pPr>
      <w:r>
        <w:rPr>
          <w:sz w:val="24"/>
        </w:rPr>
        <w:t>Market Monitoring</w:t>
      </w:r>
    </w:p>
    <w:p>
      <w:pPr>
        <w:pStyle w:val="Normal"/>
        <w:numPr>
          <w:ilvl w:val="1"/>
          <w:numId w:val="7"/>
        </w:numPr>
        <w:rPr>
          <w:sz w:val="24"/>
        </w:rPr>
      </w:pPr>
      <w:r>
        <w:rPr>
          <w:sz w:val="24"/>
        </w:rPr>
        <w:t>Planning and Expansion</w:t>
      </w:r>
    </w:p>
    <w:p>
      <w:pPr>
        <w:pStyle w:val="Normal"/>
        <w:numPr>
          <w:ilvl w:val="1"/>
          <w:numId w:val="7"/>
        </w:numPr>
        <w:rPr>
          <w:sz w:val="24"/>
        </w:rPr>
      </w:pPr>
      <w:r>
        <w:rPr>
          <w:sz w:val="24"/>
        </w:rPr>
        <w:t>Interregional Coordination</w:t>
      </w:r>
    </w:p>
    <w:p>
      <w:pPr>
        <w:pStyle w:val="Heading2"/>
        <w:ind w:hanging="0" w:start="0"/>
        <w:rPr>
          <w:sz w:val="24"/>
        </w:rPr>
      </w:pPr>
      <w:r>
        <w:rPr>
          <w:sz w:val="24"/>
        </w:rPr>
      </w:r>
    </w:p>
    <w:p>
      <w:pPr>
        <w:pStyle w:val="Heading2"/>
        <w:ind w:hanging="0" w:start="0"/>
        <w:rPr/>
      </w:pPr>
      <w:r>
        <w:rPr/>
        <w:t>Transmission Services</w:t>
      </w:r>
    </w:p>
    <w:p>
      <w:pPr>
        <w:pStyle w:val="Normal"/>
        <w:rPr>
          <w:sz w:val="24"/>
        </w:rPr>
      </w:pPr>
      <w:r>
        <w:rPr>
          <w:sz w:val="24"/>
        </w:rPr>
        <w:t>SPP provides four types of transmission services as an RTO. The services have expanded from traditional point-to-point service to network integration, and give Transmission Customers more choices.</w:t>
      </w:r>
    </w:p>
    <w:p>
      <w:pPr>
        <w:pStyle w:val="Heading5"/>
        <w:numPr>
          <w:ilvl w:val="0"/>
          <w:numId w:val="24"/>
        </w:numPr>
        <w:rPr>
          <w:color w:val="000000"/>
        </w:rPr>
      </w:pPr>
      <w:r>
        <w:rPr>
          <w:color w:val="000000"/>
        </w:rPr>
        <w:t>Long-Term Firm and Short-Term Firm Point-to-Point Transmission Service</w:t>
      </w:r>
    </w:p>
    <w:p>
      <w:pPr>
        <w:pStyle w:val="Heading5"/>
        <w:numPr>
          <w:ilvl w:val="0"/>
          <w:numId w:val="24"/>
        </w:numPr>
        <w:rPr>
          <w:color w:val="000000"/>
        </w:rPr>
      </w:pPr>
      <w:r>
        <w:rPr>
          <w:color w:val="000000"/>
        </w:rPr>
        <w:t>Non-Firm Point-to-Point Transmission Service</w:t>
      </w:r>
    </w:p>
    <w:p>
      <w:pPr>
        <w:pStyle w:val="Heading5"/>
        <w:numPr>
          <w:ilvl w:val="0"/>
          <w:numId w:val="24"/>
        </w:numPr>
        <w:rPr>
          <w:color w:val="000000"/>
        </w:rPr>
      </w:pPr>
      <w:r>
        <w:rPr>
          <w:color w:val="000000"/>
        </w:rPr>
        <w:t>Network Integration Transmission Service</w:t>
      </w:r>
    </w:p>
    <w:p>
      <w:pPr>
        <w:pStyle w:val="Heading5"/>
        <w:numPr>
          <w:ilvl w:val="0"/>
          <w:numId w:val="24"/>
        </w:numPr>
        <w:rPr>
          <w:color w:val="000000"/>
        </w:rPr>
      </w:pPr>
      <w:r>
        <w:rPr>
          <w:color w:val="000000"/>
        </w:rPr>
        <w:t>Wholesale Distribution Service</w:t>
      </w:r>
    </w:p>
    <w:p>
      <w:pPr>
        <w:pStyle w:val="DefaultText"/>
        <w:rPr>
          <w:color w:val="000000"/>
        </w:rPr>
      </w:pPr>
      <w:r>
        <w:rPr>
          <w:color w:val="000000"/>
        </w:rPr>
      </w:r>
    </w:p>
    <w:p>
      <w:pPr>
        <w:pStyle w:val="DefaultText"/>
        <w:rPr>
          <w:b/>
          <w:bCs/>
        </w:rPr>
      </w:pPr>
      <w:r>
        <w:rPr>
          <w:b/>
          <w:bCs/>
        </w:rPr>
        <w:t>Ancillary Services</w:t>
      </w:r>
    </w:p>
    <w:p>
      <w:pPr>
        <w:pStyle w:val="DefaultText"/>
        <w:rPr/>
      </w:pPr>
      <w:r>
        <w:rPr/>
        <w:t>SPP provides six types of ancillary services to support the reliable execution of is transmission services across the region:</w:t>
      </w:r>
    </w:p>
    <w:p>
      <w:pPr>
        <w:pStyle w:val="DefaultText"/>
        <w:numPr>
          <w:ilvl w:val="0"/>
          <w:numId w:val="25"/>
        </w:numPr>
        <w:rPr/>
      </w:pPr>
      <w:r>
        <w:rPr/>
        <w:t>Scheduling and Tariff Administration Service</w:t>
      </w:r>
    </w:p>
    <w:p>
      <w:pPr>
        <w:pStyle w:val="DefaultText"/>
        <w:numPr>
          <w:ilvl w:val="0"/>
          <w:numId w:val="25"/>
        </w:numPr>
        <w:rPr/>
      </w:pPr>
      <w:r>
        <w:rPr/>
        <w:t>Reactive Supply and Voltage Control from Generation Sources Service</w:t>
      </w:r>
    </w:p>
    <w:p>
      <w:pPr>
        <w:pStyle w:val="DefaultText"/>
        <w:numPr>
          <w:ilvl w:val="0"/>
          <w:numId w:val="25"/>
        </w:numPr>
        <w:rPr/>
      </w:pPr>
      <w:r>
        <w:rPr/>
        <w:t>Regulation and Frequency Response Service</w:t>
      </w:r>
    </w:p>
    <w:p>
      <w:pPr>
        <w:pStyle w:val="DefaultText"/>
        <w:numPr>
          <w:ilvl w:val="0"/>
          <w:numId w:val="25"/>
        </w:numPr>
        <w:rPr/>
      </w:pPr>
      <w:r>
        <w:rPr/>
        <w:t>Energy Imbalance Service</w:t>
      </w:r>
    </w:p>
    <w:p>
      <w:pPr>
        <w:pStyle w:val="DefaultText"/>
        <w:numPr>
          <w:ilvl w:val="0"/>
          <w:numId w:val="25"/>
        </w:numPr>
        <w:rPr/>
      </w:pPr>
      <w:r>
        <w:rPr/>
        <w:t>Operating Reserve-Spinning Reserve Service</w:t>
      </w:r>
    </w:p>
    <w:p>
      <w:pPr>
        <w:pStyle w:val="DefaultText"/>
        <w:numPr>
          <w:ilvl w:val="0"/>
          <w:numId w:val="25"/>
        </w:numPr>
        <w:rPr/>
      </w:pPr>
      <w:r>
        <w:rPr/>
        <w:t>Operating Reserve-Supplemental Reserve Service</w:t>
      </w:r>
    </w:p>
    <w:p>
      <w:pPr>
        <w:pStyle w:val="DefaultText"/>
        <w:rPr/>
      </w:pPr>
      <w:r>
        <w:rPr/>
      </w:r>
    </w:p>
    <w:p>
      <w:pPr>
        <w:pStyle w:val="Normal"/>
        <w:rPr>
          <w:sz w:val="24"/>
        </w:rPr>
      </w:pPr>
      <w:r>
        <w:rPr>
          <w:sz w:val="24"/>
        </w:rPr>
        <w:t>SPP will advise Transmission Customers of the ancillary services required for their schedules. If they do not self-arrange those services, SPP will procure them on the Transmission Customers’ behalf and bill them accordingly. Transmission Customers may self-arrange the following capacity ancillary services:</w:t>
      </w:r>
    </w:p>
    <w:p>
      <w:pPr>
        <w:pStyle w:val="Normal"/>
        <w:numPr>
          <w:ilvl w:val="0"/>
          <w:numId w:val="16"/>
        </w:numPr>
        <w:rPr>
          <w:sz w:val="24"/>
        </w:rPr>
      </w:pPr>
      <w:r>
        <w:rPr>
          <w:sz w:val="24"/>
        </w:rPr>
        <w:t>Regulation and Frequency Response Service (Up/Down);</w:t>
      </w:r>
    </w:p>
    <w:p>
      <w:pPr>
        <w:pStyle w:val="Normal"/>
        <w:numPr>
          <w:ilvl w:val="0"/>
          <w:numId w:val="16"/>
        </w:numPr>
        <w:rPr>
          <w:sz w:val="24"/>
        </w:rPr>
      </w:pPr>
      <w:r>
        <w:rPr>
          <w:sz w:val="24"/>
        </w:rPr>
        <w:t>Operating Reserve- Spinning Reserve Service; and</w:t>
      </w:r>
    </w:p>
    <w:p>
      <w:pPr>
        <w:pStyle w:val="Normal"/>
        <w:numPr>
          <w:ilvl w:val="0"/>
          <w:numId w:val="16"/>
        </w:numPr>
        <w:rPr>
          <w:sz w:val="24"/>
        </w:rPr>
      </w:pPr>
      <w:r>
        <w:rPr>
          <w:sz w:val="24"/>
        </w:rPr>
        <w:t>Operating Reserve- Supplemental Reserve Service.</w:t>
      </w:r>
    </w:p>
    <w:p>
      <w:pPr>
        <w:pStyle w:val="Normal"/>
        <w:rPr>
          <w:sz w:val="24"/>
        </w:rPr>
      </w:pPr>
      <w:r>
        <w:rPr>
          <w:sz w:val="24"/>
        </w:rPr>
      </w:r>
    </w:p>
    <w:p>
      <w:pPr>
        <w:pStyle w:val="Heading8"/>
        <w:tabs>
          <w:tab w:val="clear" w:pos="360"/>
        </w:tabs>
        <w:ind w:hanging="0" w:start="0"/>
        <w:rPr/>
      </w:pPr>
      <w:r>
        <w:rPr/>
        <w:t>Market Overview</w:t>
      </w:r>
    </w:p>
    <w:p>
      <w:pPr>
        <w:pStyle w:val="Normal"/>
        <w:rPr>
          <w:sz w:val="24"/>
        </w:rPr>
      </w:pPr>
      <w:r>
        <w:rPr>
          <w:sz w:val="24"/>
        </w:rPr>
        <w:t>The competitive wholesale electricity market in the SPP region will be based on “bilateral” transactions between buyers and sellers of energy. These bilaterals reflect pre-arrangements to serve load, even internal to the same market participant. This is unlike some other markets that set prices through a single “pool” in which electricity is offered and bought. It is important to recognize that SPP is not responsible for the settling of bilateral agreements or contracts, or for providing a power pool.</w:t>
      </w:r>
    </w:p>
    <w:p>
      <w:pPr>
        <w:pStyle w:val="Normal"/>
        <w:rPr>
          <w:sz w:val="24"/>
        </w:rPr>
      </w:pPr>
      <w:r>
        <w:rPr>
          <w:sz w:val="24"/>
        </w:rPr>
      </w:r>
    </w:p>
    <w:p>
      <w:pPr>
        <w:pStyle w:val="Normal"/>
        <w:rPr/>
      </w:pPr>
      <w:r>
        <w:rPr>
          <w:sz w:val="24"/>
        </w:rPr>
        <w:t>The Transmission Customer, which is defined as any participant that is a signatory to the SPP Tariff, is the only entity with which SPP has a business relationship. In order to use the SPP scheduling system for submission of schedules, the Transmission Customer or their Designated Agent must be registered with SPP as a scheduler.</w:t>
      </w:r>
      <w:r>
        <w:rPr>
          <w:rStyle w:val="FootnoteCharacters"/>
          <w:rStyle w:val="FootnoteReference"/>
          <w:sz w:val="24"/>
        </w:rPr>
        <w:footnoteReference w:id="2"/>
      </w:r>
      <w:r>
        <w:rPr>
          <w:sz w:val="24"/>
        </w:rPr>
        <w:t xml:space="preserve"> In the above illustration, Load Serving Entities or Generators must be registered with SPP as a scheduling entity in order to submit schedules for their private bilateral transactions.</w:t>
      </w:r>
    </w:p>
    <w:p>
      <w:pPr>
        <w:pStyle w:val="Normal"/>
        <w:rPr>
          <w:sz w:val="24"/>
        </w:rPr>
      </w:pPr>
      <w:r>
        <w:rPr>
          <w:sz w:val="24"/>
        </w:rPr>
      </w:r>
    </w:p>
    <w:p>
      <w:pPr>
        <w:pStyle w:val="Normal"/>
        <w:rPr>
          <w:sz w:val="24"/>
        </w:rPr>
      </w:pPr>
      <w:r>
        <w:rPr>
          <w:sz w:val="24"/>
        </w:rPr>
        <w:t>SPP works with transmission owners, transmission companies, and control areas to ensure that the transmission system reliably delivers power from generation to load-serving entities, by ensuring that there are sufficient resources to meet scheduled load requirements. Transmission companies retain some key operational functions that other transmission owners assign to SPP.</w:t>
      </w:r>
    </w:p>
    <w:p>
      <w:pPr>
        <w:pStyle w:val="Normal"/>
        <w:rPr>
          <w:sz w:val="24"/>
        </w:rPr>
      </w:pPr>
      <w:r>
        <w:rPr>
          <w:sz w:val="24"/>
        </w:rPr>
      </w:r>
    </w:p>
    <w:p>
      <w:pPr>
        <w:pStyle w:val="Normal"/>
        <w:rPr/>
      </w:pPr>
      <w:r>
        <w:rPr>
          <w:sz w:val="24"/>
        </w:rPr>
        <w:t xml:space="preserve">For the market to operate reliably and efficiently, the various market participants will operate according to the SPP Tariff, which is available on the </w:t>
      </w:r>
      <w:hyperlink r:id="rId5">
        <w:r>
          <w:rPr>
            <w:rStyle w:val="Hyperlink"/>
            <w:sz w:val="24"/>
          </w:rPr>
          <w:t>www.spp.org</w:t>
        </w:r>
      </w:hyperlink>
      <w:r>
        <w:rPr>
          <w:sz w:val="24"/>
        </w:rPr>
        <w:t xml:space="preserve"> website. In simple terms, energy buyers and sellers will communicate operational information to SPP through their reservations and schedules, and SPP will ensure that the power grid can accommodate the schedules that are generated by the bilateral market. SPP will also encourage market participants to self-provide their share of ancillary services as part of their regular private transactions. Note that every market participant must communicate with SPP in advance to apply to become a registered entity in the SPP settlement system.</w:t>
      </w:r>
    </w:p>
    <w:p>
      <w:pPr>
        <w:pStyle w:val="Normal"/>
        <w:rPr>
          <w:sz w:val="24"/>
        </w:rPr>
      </w:pPr>
      <w:r>
        <w:rPr>
          <w:sz w:val="24"/>
        </w:rPr>
        <w:t>SPP will not, however, facilitate interactions between market participants to support processes such as Service Outage Management or Meter Service Order Management. It is up to market participants to define how these activities will occur, and manage their implementation.</w:t>
      </w:r>
    </w:p>
    <w:p>
      <w:pPr>
        <w:pStyle w:val="Normal"/>
        <w:rPr>
          <w:sz w:val="24"/>
        </w:rPr>
      </w:pPr>
      <w:r>
        <w:rPr>
          <w:sz w:val="24"/>
        </w:rPr>
      </w:r>
    </w:p>
    <w:p>
      <w:pPr>
        <w:pStyle w:val="Normal"/>
        <w:rPr>
          <w:sz w:val="24"/>
        </w:rPr>
      </w:pPr>
      <w:r>
        <w:rPr>
          <w:sz w:val="24"/>
        </w:rPr>
        <w:t>Market participants will play a number of major roles in the SPP region to support a reliable transmission system and an increasingly competitive wholesale power market. The major types of participants are described below.</w:t>
      </w:r>
    </w:p>
    <w:p>
      <w:pPr>
        <w:pStyle w:val="Normal"/>
        <w:rPr>
          <w:sz w:val="24"/>
        </w:rPr>
      </w:pPr>
      <w:r>
        <w:rPr>
          <w:sz w:val="24"/>
        </w:rPr>
      </w:r>
    </w:p>
    <w:p>
      <w:pPr>
        <w:pStyle w:val="Normal"/>
        <w:rPr/>
      </w:pPr>
      <w:r>
        <w:rPr>
          <w:b/>
          <w:sz w:val="24"/>
        </w:rPr>
        <w:t xml:space="preserve">Transmission Customers </w:t>
      </w:r>
      <w:r>
        <w:rPr>
          <w:sz w:val="24"/>
        </w:rPr>
        <w:t>play a key role in the SPP region. They can be any entity that has entered into a Tariff agreement with SPP, including loads and resources. From a market operations perspective, Transmission Customers will provide the main information interface with SPP. For example, market participants scheduling power or bidding energy for the Energy Imbalance Service market must be a Transmission Customer, or work through one, to provide the required information to SPP. A Transmission Customer can also act as a Designated Agent for another market participant that wants to operate in the SPP region.</w:t>
      </w:r>
    </w:p>
    <w:p>
      <w:pPr>
        <w:pStyle w:val="Normal"/>
        <w:rPr>
          <w:sz w:val="24"/>
        </w:rPr>
      </w:pPr>
      <w:r>
        <w:rPr>
          <w:sz w:val="24"/>
        </w:rPr>
        <w:t xml:space="preserve"> </w:t>
      </w:r>
    </w:p>
    <w:p>
      <w:pPr>
        <w:pStyle w:val="Normal"/>
        <w:rPr>
          <w:sz w:val="24"/>
        </w:rPr>
      </w:pPr>
      <w:r>
        <w:rPr>
          <w:sz w:val="24"/>
        </w:rPr>
        <w:t>The financial settlement for ancillary services that are procured by SPP will take place between Transmission Customers and SPP. Variances from scheduled amounts will be settled at the appropriate Market Clearing Price for the settlement interval.</w:t>
      </w:r>
    </w:p>
    <w:p>
      <w:pPr>
        <w:pStyle w:val="Normal"/>
        <w:rPr>
          <w:sz w:val="24"/>
        </w:rPr>
      </w:pPr>
      <w:r>
        <w:rPr>
          <w:sz w:val="24"/>
        </w:rPr>
      </w:r>
    </w:p>
    <w:p>
      <w:pPr>
        <w:pStyle w:val="Normal"/>
        <w:rPr>
          <w:sz w:val="24"/>
        </w:rPr>
      </w:pPr>
      <w:r>
        <w:rPr>
          <w:sz w:val="24"/>
        </w:rPr>
        <w:t xml:space="preserve">For every Settlement Interval, which lasts 1 hour, SPP will accept schedules from Transmission Customers that identify the source and destination of contracted power flows, as well as their amount and timing. SPP will compare the sum of these schedules to its own load forecasts to provide ancillary services requirements. </w:t>
      </w:r>
    </w:p>
    <w:p>
      <w:pPr>
        <w:pStyle w:val="Style11"/>
        <w:rPr>
          <w:sz w:val="24"/>
        </w:rPr>
      </w:pPr>
      <w:r>
        <w:rPr>
          <w:sz w:val="24"/>
        </w:rPr>
      </w:r>
    </w:p>
    <w:p>
      <w:pPr>
        <w:pStyle w:val="Normal"/>
        <w:rPr/>
      </w:pPr>
      <w:r>
        <w:rPr>
          <w:b/>
          <w:bCs/>
          <w:sz w:val="24"/>
        </w:rPr>
        <w:t>Resources</w:t>
      </w:r>
      <w:r>
        <w:rPr>
          <w:sz w:val="24"/>
        </w:rPr>
        <w:t xml:space="preserve"> are entities that own generation or have controllable load that is interconnected to the grid. They negotiate bilaterally with other market participants to sell energy, and communicate the resulting reservations and schedules to SPP through their Transmission Customers. Resources can also bid into the Energy Imbalance Service market. </w:t>
      </w:r>
    </w:p>
    <w:p>
      <w:pPr>
        <w:pStyle w:val="Normal"/>
        <w:rPr>
          <w:sz w:val="24"/>
        </w:rPr>
      </w:pPr>
      <w:r>
        <w:rPr>
          <w:sz w:val="24"/>
        </w:rPr>
      </w:r>
    </w:p>
    <w:p>
      <w:pPr>
        <w:pStyle w:val="Normal"/>
        <w:rPr/>
      </w:pPr>
      <w:r>
        <w:rPr>
          <w:b/>
          <w:bCs/>
          <w:sz w:val="24"/>
        </w:rPr>
        <w:t>Transmission Owners</w:t>
      </w:r>
      <w:r>
        <w:rPr>
          <w:sz w:val="24"/>
        </w:rPr>
        <w:t xml:space="preserve"> own the transmission facilities that are placed under the SPP Tariff.</w:t>
      </w:r>
    </w:p>
    <w:p>
      <w:pPr>
        <w:pStyle w:val="ABLOCKPARA"/>
        <w:rPr>
          <w:rFonts w:eastAsia="Book Antiqua" w:cs="Book Antiqua"/>
          <w:sz w:val="24"/>
        </w:rPr>
      </w:pPr>
      <w:r>
        <w:rPr>
          <w:rFonts w:eastAsia="Book Antiqua" w:cs="Book Antiqua"/>
          <w:sz w:val="24"/>
        </w:rPr>
        <w:t xml:space="preserve"> </w:t>
      </w:r>
    </w:p>
    <w:p>
      <w:pPr>
        <w:pStyle w:val="Normal"/>
        <w:rPr/>
      </w:pPr>
      <w:r>
        <w:rPr>
          <w:b/>
          <w:sz w:val="24"/>
        </w:rPr>
        <w:t>Load Serving Entities</w:t>
      </w:r>
      <w:r>
        <w:rPr>
          <w:sz w:val="24"/>
        </w:rPr>
        <w:t xml:space="preserve"> draw energy from the bulk transmission system to serve loads. They buy power through private bilateral contracts with resources. Load serving are responsible to arrange for aggregate meter reading and consumption information to be provided to SPP, in order to correctly settle for ancillary services. For example, consumption information for each entity will be needed to determine whether the actual load matches the schedules submitted by a Transmission Customer on behalf of its load. If they do not match, the difference is settled with Transmission Customers at the energy imbalance zonal or nodal prices.</w:t>
      </w:r>
    </w:p>
    <w:p>
      <w:pPr>
        <w:pStyle w:val="Normal"/>
        <w:rPr>
          <w:sz w:val="24"/>
        </w:rPr>
      </w:pPr>
      <w:r>
        <w:rPr>
          <w:sz w:val="24"/>
        </w:rPr>
      </w:r>
    </w:p>
    <w:p>
      <w:pPr>
        <w:pStyle w:val="Normal"/>
        <w:rPr/>
      </w:pPr>
      <w:r>
        <w:rPr>
          <w:b/>
          <w:bCs/>
          <w:sz w:val="24"/>
        </w:rPr>
        <w:t>Distribution Service Providers</w:t>
      </w:r>
      <w:r>
        <w:rPr>
          <w:sz w:val="24"/>
        </w:rPr>
        <w:t xml:space="preserve"> draw energy from the bulk transmission system to supply retail-level distribution grids. They are typically responsible for the allocation of consumption metering data to the one-hour SPP settlement intervals, and the application of tariffed transmission and distribution loss factors.</w:t>
      </w:r>
    </w:p>
    <w:p>
      <w:pPr>
        <w:pStyle w:val="Normal"/>
        <w:rPr>
          <w:sz w:val="24"/>
        </w:rPr>
      </w:pPr>
      <w:r>
        <w:rPr>
          <w:sz w:val="24"/>
        </w:rPr>
      </w:r>
    </w:p>
    <w:p>
      <w:pPr>
        <w:pStyle w:val="Normal"/>
        <w:rPr/>
      </w:pPr>
      <w:r>
        <w:rPr>
          <w:b/>
          <w:sz w:val="24"/>
        </w:rPr>
        <w:t xml:space="preserve">Control Areas </w:t>
      </w:r>
      <w:r>
        <w:rPr>
          <w:sz w:val="24"/>
        </w:rPr>
        <w:t>are responsible for insuring that Transmission Customers install, maintain and calibrate real-time (Megawatt, Megavar) and Integrated Interval (Megawatt-Hour, Megavar-Hour/Hour) metering of resources to support reliability. Control areas may also be required to provide other services to support SPP operations such as regulation, ancillary service verification, area control error calculations, and inter-tie meter readings.</w:t>
      </w:r>
    </w:p>
    <w:p>
      <w:pPr>
        <w:pStyle w:val="Normal"/>
        <w:rPr>
          <w:sz w:val="24"/>
        </w:rPr>
      </w:pPr>
      <w:r>
        <w:rPr>
          <w:sz w:val="24"/>
        </w:rPr>
      </w:r>
    </w:p>
    <w:p>
      <w:pPr>
        <w:pStyle w:val="Normal"/>
        <w:rPr/>
      </w:pPr>
      <w:r>
        <w:rPr>
          <w:b/>
          <w:sz w:val="24"/>
        </w:rPr>
        <w:t>Other Participants</w:t>
      </w:r>
      <w:r>
        <w:rPr>
          <w:sz w:val="24"/>
        </w:rPr>
        <w:t xml:space="preserve"> may also operate in the SPP market. Power Marketers who buy and sell blocks of energy will need to schedule that power with SPP through a Transmission Customer.  </w:t>
      </w:r>
    </w:p>
    <w:p>
      <w:pPr>
        <w:pStyle w:val="Normal"/>
        <w:rPr/>
      </w:pPr>
      <w:r>
        <w:rPr>
          <w:b/>
          <w:bCs/>
          <w:sz w:val="24"/>
        </w:rPr>
        <w:t>In the SPP region in Texas</w:t>
      </w:r>
      <w:r>
        <w:rPr>
          <w:sz w:val="24"/>
        </w:rPr>
        <w:t xml:space="preserve">, where retail competition will start in 2001, ERCOT is managing the statewide registration system that will interface with each entity that is responsible for end-user customer data aggregation. Texas </w:t>
      </w:r>
      <w:r>
        <w:rPr>
          <w:b/>
          <w:bCs/>
          <w:sz w:val="24"/>
        </w:rPr>
        <w:t xml:space="preserve">competitive retailers </w:t>
      </w:r>
      <w:r>
        <w:rPr>
          <w:sz w:val="24"/>
        </w:rPr>
        <w:t xml:space="preserve">that operate in the SPP region must register with SPP as a Transmission Customer, and are responsible for communicating their schedules to SPP accordingly through a scheduling entity. </w:t>
      </w:r>
    </w:p>
    <w:p>
      <w:pPr>
        <w:pStyle w:val="Normal"/>
        <w:rPr>
          <w:sz w:val="24"/>
        </w:rPr>
      </w:pPr>
      <w:r>
        <w:rPr>
          <w:sz w:val="24"/>
        </w:rPr>
      </w:r>
    </w:p>
    <w:p>
      <w:pPr>
        <w:pStyle w:val="Normal"/>
        <w:rPr/>
      </w:pPr>
      <w:r>
        <w:rPr>
          <w:sz w:val="24"/>
        </w:rPr>
        <w:t xml:space="preserve">SPP utilizes seven key processes to perform its operational responsibilities. The </w:t>
      </w:r>
      <w:r>
        <w:rPr>
          <w:sz w:val="24"/>
          <w:u w:val="single"/>
        </w:rPr>
        <w:t>registration</w:t>
      </w:r>
      <w:r>
        <w:rPr>
          <w:sz w:val="24"/>
        </w:rPr>
        <w:t xml:space="preserve"> process identifies all the critical entities in the SPP region in terms of their physical, financial, and legal characteristics. The </w:t>
      </w:r>
      <w:r>
        <w:rPr>
          <w:sz w:val="24"/>
          <w:u w:val="single"/>
        </w:rPr>
        <w:t>reservation</w:t>
      </w:r>
      <w:r>
        <w:rPr>
          <w:sz w:val="24"/>
        </w:rPr>
        <w:t xml:space="preserve"> process allows SPP to receive requests for transmission service from Transmission Customers, evaluate the impact of the requests on the transmission system’s reliability, and either accept or reject the requests. SPP uses the network </w:t>
      </w:r>
      <w:r>
        <w:rPr>
          <w:sz w:val="24"/>
          <w:u w:val="single"/>
        </w:rPr>
        <w:t>security analysis</w:t>
      </w:r>
      <w:r>
        <w:rPr>
          <w:sz w:val="24"/>
        </w:rPr>
        <w:t xml:space="preserve"> process to constantly forecast and monitor network conditions and reliability. SPP relies on the </w:t>
      </w:r>
      <w:r>
        <w:rPr>
          <w:sz w:val="24"/>
          <w:u w:val="single"/>
        </w:rPr>
        <w:t>scheduling</w:t>
      </w:r>
      <w:r>
        <w:rPr>
          <w:sz w:val="24"/>
        </w:rPr>
        <w:t xml:space="preserve"> process to receive and validate schedules for transmissions service from Transmission Customers. In order to carry out the scheduled transmission services, SPP uses the </w:t>
      </w:r>
      <w:r>
        <w:rPr>
          <w:sz w:val="24"/>
          <w:u w:val="single"/>
        </w:rPr>
        <w:t>resource acquisition</w:t>
      </w:r>
      <w:r>
        <w:rPr>
          <w:sz w:val="24"/>
        </w:rPr>
        <w:t xml:space="preserve"> processes to procure the necessary ancillary services, and the </w:t>
      </w:r>
      <w:r>
        <w:rPr>
          <w:sz w:val="24"/>
          <w:u w:val="single"/>
        </w:rPr>
        <w:t>resource deployment</w:t>
      </w:r>
      <w:r>
        <w:rPr>
          <w:sz w:val="24"/>
        </w:rPr>
        <w:t xml:space="preserve"> processes to execute them as needed. SPP uses the </w:t>
      </w:r>
      <w:r>
        <w:rPr>
          <w:sz w:val="24"/>
          <w:u w:val="single"/>
        </w:rPr>
        <w:t>settlement</w:t>
      </w:r>
      <w:r>
        <w:rPr>
          <w:sz w:val="24"/>
        </w:rPr>
        <w:t xml:space="preserve"> processes to fairly allocate and settle the costs of providing reliable transmission service. </w:t>
      </w:r>
    </w:p>
    <w:p>
      <w:pPr>
        <w:pStyle w:val="Normal"/>
        <w:rPr>
          <w:sz w:val="24"/>
        </w:rPr>
      </w:pPr>
      <w:r>
        <w:rPr>
          <w:sz w:val="24"/>
        </w:rPr>
      </w:r>
    </w:p>
    <w:p>
      <w:pPr>
        <w:pStyle w:val="Heading2"/>
        <w:ind w:hanging="0" w:start="0"/>
        <w:rPr>
          <w:bCs/>
        </w:rPr>
      </w:pPr>
      <w:r>
        <w:rPr>
          <w:bCs/>
        </w:rPr>
        <w:t>INFORMATIONAL DOCUMENTATION</w:t>
      </w:r>
    </w:p>
    <w:p>
      <w:pPr>
        <w:pStyle w:val="Normal"/>
        <w:numPr>
          <w:ilvl w:val="0"/>
          <w:numId w:val="14"/>
        </w:numPr>
        <w:rPr>
          <w:sz w:val="24"/>
        </w:rPr>
      </w:pPr>
      <w:r>
        <w:rPr>
          <w:sz w:val="24"/>
        </w:rPr>
        <w:t xml:space="preserve">Delivery Service Tariff - </w:t>
      </w:r>
      <w:hyperlink r:id="rId6">
        <w:r>
          <w:rPr>
            <w:rStyle w:val="Hyperlink"/>
            <w:sz w:val="24"/>
          </w:rPr>
          <w:t>http://www.puc.state.tx.us./rules/subrules/electric/25.appIV/appIV.pdf</w:t>
        </w:r>
      </w:hyperlink>
    </w:p>
    <w:p>
      <w:pPr>
        <w:pStyle w:val="Normal"/>
        <w:numPr>
          <w:ilvl w:val="0"/>
          <w:numId w:val="14"/>
        </w:numPr>
        <w:rPr>
          <w:sz w:val="24"/>
        </w:rPr>
      </w:pPr>
      <w:r>
        <w:rPr>
          <w:sz w:val="24"/>
        </w:rPr>
        <w:t xml:space="preserve">ERCOT Protocols (Interaction with ERCOT) - </w:t>
      </w:r>
      <w:hyperlink r:id="rId7">
        <w:r>
          <w:rPr>
            <w:rStyle w:val="Hyperlink"/>
            <w:sz w:val="24"/>
          </w:rPr>
          <w:t>http://www.ercot.com/tac/retailisoadhoccommittee/protocols/keydocs/draftercotprotocols.htm</w:t>
        </w:r>
      </w:hyperlink>
    </w:p>
    <w:p>
      <w:pPr>
        <w:pStyle w:val="Normal"/>
        <w:numPr>
          <w:ilvl w:val="0"/>
          <w:numId w:val="14"/>
        </w:numPr>
        <w:rPr>
          <w:sz w:val="24"/>
        </w:rPr>
      </w:pPr>
      <w:r>
        <w:rPr>
          <w:sz w:val="24"/>
        </w:rPr>
        <w:t xml:space="preserve">Substantive Rules Applicable to Electric Service Providers – Chapter 25 - </w:t>
      </w:r>
      <w:hyperlink r:id="rId8">
        <w:r>
          <w:rPr>
            <w:rStyle w:val="Hyperlink"/>
            <w:sz w:val="24"/>
          </w:rPr>
          <w:t>http://www.puc.state.tx.us/rules/subrules/electric/index.cfm</w:t>
        </w:r>
      </w:hyperlink>
    </w:p>
    <w:p>
      <w:pPr>
        <w:pStyle w:val="Normal"/>
        <w:numPr>
          <w:ilvl w:val="0"/>
          <w:numId w:val="14"/>
        </w:numPr>
        <w:rPr>
          <w:sz w:val="24"/>
        </w:rPr>
      </w:pPr>
      <w:r>
        <w:rPr>
          <w:sz w:val="24"/>
        </w:rPr>
        <w:t xml:space="preserve">Data Exchange Standards - </w:t>
      </w:r>
      <w:hyperlink r:id="rId9">
        <w:r>
          <w:rPr>
            <w:rStyle w:val="Hyperlink"/>
            <w:sz w:val="24"/>
          </w:rPr>
          <w:t>http://www.ercot.com/Tac/RetailISOAdHocCommittee/Customer/SET/keydocs/Keydocs.htm</w:t>
        </w:r>
      </w:hyperlink>
    </w:p>
    <w:p>
      <w:pPr>
        <w:pStyle w:val="Normal"/>
        <w:numPr>
          <w:ilvl w:val="0"/>
          <w:numId w:val="14"/>
        </w:numPr>
        <w:rPr>
          <w:sz w:val="24"/>
        </w:rPr>
      </w:pPr>
      <w:r>
        <w:rPr>
          <w:sz w:val="24"/>
        </w:rPr>
        <w:t xml:space="preserve">Texas Test Plan - </w:t>
      </w:r>
      <w:hyperlink r:id="rId10">
        <w:r>
          <w:rPr>
            <w:rStyle w:val="Hyperlink"/>
            <w:sz w:val="24"/>
          </w:rPr>
          <w:t>http://itpta.intellimark-it.com/</w:t>
        </w:r>
      </w:hyperlink>
    </w:p>
    <w:p>
      <w:pPr>
        <w:pStyle w:val="Normal"/>
        <w:numPr>
          <w:ilvl w:val="0"/>
          <w:numId w:val="14"/>
        </w:numPr>
        <w:rPr>
          <w:sz w:val="24"/>
        </w:rPr>
      </w:pPr>
      <w:r>
        <w:rPr>
          <w:sz w:val="24"/>
        </w:rPr>
        <w:t xml:space="preserve">Southwest Power Pool RTO Market Guide – </w:t>
      </w:r>
      <w:hyperlink r:id="rId11">
        <w:r>
          <w:rPr>
            <w:rStyle w:val="Hyperlink"/>
            <w:sz w:val="24"/>
          </w:rPr>
          <w:t>http://www.spp.org/Publications/SPP_Market_Guide(v1.1).doc</w:t>
        </w:r>
      </w:hyperlink>
    </w:p>
    <w:p>
      <w:pPr>
        <w:pStyle w:val="DefaultText"/>
        <w:rPr>
          <w:sz w:val="24"/>
        </w:rPr>
      </w:pPr>
      <w:r>
        <w:rPr>
          <w:sz w:val="24"/>
        </w:rPr>
      </w:r>
    </w:p>
    <w:p>
      <w:pPr>
        <w:pStyle w:val="DefaultText"/>
        <w:rPr/>
      </w:pPr>
      <w:r>
        <w:rPr/>
      </w:r>
    </w:p>
    <w:sectPr>
      <w:headerReference w:type="default" r:id="rId12"/>
      <w:footerReference w:type="default" r:id="rId13"/>
      <w:footnotePr>
        <w:numFmt w:val="decimal"/>
      </w:footnotePr>
      <w:type w:val="nextPage"/>
      <w:pgSz w:w="12240" w:h="15840"/>
      <w:pgMar w:left="1440" w:right="1296"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 w:name="Book Antiqua">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16</w:t>
    </w:r>
    <w:r>
      <w:rPr/>
      <w:fldChar w:fldCharType="end"/>
    </w:r>
    <w:r>
      <w:rPr/>
      <w:t xml:space="preserve"> of </w:t>
    </w:r>
    <w:r>
      <w:rPr/>
      <w:fldChar w:fldCharType="begin"/>
    </w:r>
    <w:r>
      <w:rPr/>
      <w:instrText xml:space="preserve"> NUMPAGES \* ARABIC </w:instrText>
    </w:r>
    <w:r>
      <w:rPr/>
      <w:fldChar w:fldCharType="separate"/>
    </w:r>
    <w:r>
      <w:rPr/>
      <w:t>16</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440" w:end="0"/>
      <w:jc w:val="center"/>
      <w:rPr>
        <w:b/>
        <w:bCs/>
        <w:sz w:val="24"/>
      </w:rPr>
    </w:pPr>
    <w:r>
      <w:drawing>
        <wp:anchor behindDoc="1" distT="0" distB="0" distL="114935" distR="114935" simplePos="0" locked="0" layoutInCell="1" allowOverlap="1" relativeHeight="17">
          <wp:simplePos x="0" y="0"/>
          <wp:positionH relativeFrom="column">
            <wp:posOffset>-748665</wp:posOffset>
          </wp:positionH>
          <wp:positionV relativeFrom="paragraph">
            <wp:posOffset>-340360</wp:posOffset>
          </wp:positionV>
          <wp:extent cx="1217295" cy="10287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7" t="-25" r="-27" b="-25"/>
                  <a:stretch>
                    <a:fillRect/>
                  </a:stretch>
                </pic:blipFill>
                <pic:spPr bwMode="auto">
                  <a:xfrm>
                    <a:off x="0" y="0"/>
                    <a:ext cx="1217295" cy="1028700"/>
                  </a:xfrm>
                  <a:prstGeom prst="rect">
                    <a:avLst/>
                  </a:prstGeom>
                  <a:noFill/>
                </pic:spPr>
              </pic:pic>
            </a:graphicData>
          </a:graphic>
        </wp:anchor>
      </w:drawing>
    </w:r>
    <w:r>
      <w:rPr>
        <w:b/>
        <w:bCs/>
        <w:sz w:val="24"/>
      </w:rPr>
      <w:t>TEXAS  -  MARKET ANALYSIS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1080"/>
        </w:tabs>
        <w:ind w:start="1080" w:hanging="360"/>
      </w:pPr>
    </w:lvl>
  </w:abstractNum>
  <w:abstractNum w:abstractNumId="6">
    <w:lvl w:ilvl="0">
      <w:start w:val="1"/>
      <w:numFmt w:val="decimal"/>
      <w:lvlText w:val="%1)"/>
      <w:lvlJc w:val="start"/>
      <w:pPr>
        <w:tabs>
          <w:tab w:val="num" w:pos="720"/>
        </w:tabs>
        <w:ind w:start="72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1800"/>
        </w:tabs>
        <w:ind w:start="1800" w:hanging="720"/>
      </w:pPr>
      <w:rPr>
        <w:rFonts w:ascii="Symbol" w:hAnsi="Symbol" w:cs="Symbol" w:hint="default"/>
      </w:rPr>
    </w:lvl>
  </w:abstractNum>
  <w:abstractNum w:abstractNumId="12">
    <w:lvl w:ilvl="0">
      <w:start w:val="1"/>
      <w:numFmt w:val="decimal"/>
      <w:lvlText w:val="%1)"/>
      <w:lvlJc w:val="start"/>
      <w:pPr>
        <w:tabs>
          <w:tab w:val="num" w:pos="720"/>
        </w:tabs>
        <w:ind w:start="720" w:hanging="360"/>
      </w:pPr>
    </w:lvl>
  </w:abstractNum>
  <w:abstractNum w:abstractNumId="13">
    <w:lvl w:ilvl="0">
      <w:start w:val="1"/>
      <w:numFmt w:val="decimal"/>
      <w:lvlText w:val="%1)"/>
      <w:lvlJc w:val="start"/>
      <w:pPr>
        <w:tabs>
          <w:tab w:val="num" w:pos="720"/>
        </w:tabs>
        <w:ind w:start="72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1080"/>
        </w:tabs>
        <w:ind w:start="1080" w:hanging="360"/>
      </w:pPr>
      <w:rPr>
        <w:rFonts w:ascii="Symbol" w:hAnsi="Symbol" w:cs="Symbol" w:hint="default"/>
      </w:rPr>
    </w:lvl>
  </w:abstractNum>
  <w:abstractNum w:abstractNumId="16">
    <w:lvl w:ilvl="0">
      <w:start w:val="1"/>
      <w:numFmt w:val="decimal"/>
      <w:lvlText w:val="%1)"/>
      <w:lvlJc w:val="start"/>
      <w:pPr>
        <w:tabs>
          <w:tab w:val="num" w:pos="720"/>
        </w:tabs>
        <w:ind w:start="720" w:hanging="360"/>
      </w:pPr>
    </w:lvl>
  </w:abstractNum>
  <w:abstractNum w:abstractNumId="17">
    <w:lvl w:ilvl="0">
      <w:start w:val="1"/>
      <w:numFmt w:val="decimal"/>
      <w:lvlText w:val="%1)"/>
      <w:lvlJc w:val="start"/>
      <w:pPr>
        <w:tabs>
          <w:tab w:val="num" w:pos="720"/>
        </w:tabs>
        <w:ind w:start="720" w:hanging="360"/>
      </w:p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21">
    <w:lvl w:ilvl="0">
      <w:start w:val="1"/>
      <w:numFmt w:val="decimal"/>
      <w:lvlText w:val="%1)"/>
      <w:lvlJc w:val="start"/>
      <w:pPr>
        <w:tabs>
          <w:tab w:val="num" w:pos="360"/>
        </w:tabs>
        <w:ind w:start="360" w:hanging="360"/>
      </w:pPr>
    </w:lvl>
  </w:abstractNum>
  <w:abstractNum w:abstractNumId="22">
    <w:lvl w:ilvl="0">
      <w:start w:val="1"/>
      <w:numFmt w:val="decimal"/>
      <w:lvlText w:val="%1."/>
      <w:lvlJc w:val="start"/>
      <w:pPr>
        <w:tabs>
          <w:tab w:val="num" w:pos="360"/>
        </w:tabs>
        <w:ind w:start="360" w:hanging="360"/>
      </w:pPr>
    </w:lvl>
  </w:abstractNum>
  <w:abstractNum w:abstractNumId="23">
    <w:lvl w:ilvl="0">
      <w:start w:val="1"/>
      <w:numFmt w:val="decimal"/>
      <w:lvlText w:val="%1)"/>
      <w:lvlJc w:val="start"/>
      <w:pPr>
        <w:tabs>
          <w:tab w:val="num" w:pos="360"/>
        </w:tabs>
        <w:ind w:start="360" w:hanging="360"/>
      </w:pPr>
    </w:lvl>
  </w:abstractNum>
  <w:abstractNum w:abstractNumId="24">
    <w:lvl w:ilvl="0">
      <w:start w:val="1"/>
      <w:numFmt w:val="decimal"/>
      <w:lvlText w:val="%1)"/>
      <w:lvlJc w:val="start"/>
      <w:pPr>
        <w:tabs>
          <w:tab w:val="num" w:pos="720"/>
        </w:tabs>
        <w:ind w:start="720" w:hanging="360"/>
      </w:pPr>
    </w:lvl>
  </w:abstractNum>
  <w:abstractNum w:abstractNumId="25">
    <w:lvl w:ilvl="0">
      <w:start w:val="1"/>
      <w:numFmt w:val="decimal"/>
      <w:lvlText w:val="%1)"/>
      <w:lvlJc w:val="start"/>
      <w:pPr>
        <w:tabs>
          <w:tab w:val="num" w:pos="720"/>
        </w:tabs>
        <w:ind w:start="720" w:hanging="360"/>
      </w:pPr>
    </w:lvl>
  </w:abstractNum>
  <w:abstractNum w:abstractNumId="26">
    <w:lvl w:ilvl="0">
      <w:start w:val="1"/>
      <w:numFmt w:val="decimal"/>
      <w:lvlText w:val="%1)"/>
      <w:lvlJc w:val="start"/>
      <w:pPr>
        <w:tabs>
          <w:tab w:val="num" w:pos="720"/>
        </w:tabs>
        <w:ind w:start="720" w:hanging="360"/>
      </w:p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color w:val="0000FF"/>
      <w:sz w:val="24"/>
    </w:rPr>
  </w:style>
  <w:style w:type="paragraph" w:styleId="Heading4">
    <w:name w:val="heading 4"/>
    <w:basedOn w:val="Normal"/>
    <w:next w:val="Normal"/>
    <w:qFormat/>
    <w:pPr>
      <w:keepNext w:val="true"/>
      <w:numPr>
        <w:ilvl w:val="3"/>
        <w:numId w:val="1"/>
      </w:numPr>
      <w:ind w:hanging="0" w:start="0" w:end="342"/>
      <w:jc w:val="both"/>
      <w:outlineLvl w:val="3"/>
    </w:pPr>
    <w:rPr>
      <w:color w:val="000000"/>
      <w:sz w:val="24"/>
    </w:rPr>
  </w:style>
  <w:style w:type="paragraph" w:styleId="Heading5">
    <w:name w:val="heading 5"/>
    <w:basedOn w:val="Normal"/>
    <w:next w:val="Normal"/>
    <w:qFormat/>
    <w:pPr>
      <w:keepNext w:val="true"/>
      <w:numPr>
        <w:ilvl w:val="4"/>
        <w:numId w:val="1"/>
      </w:numPr>
      <w:jc w:val="both"/>
      <w:outlineLvl w:val="4"/>
    </w:pPr>
    <w:rPr>
      <w:color w:val="0000FF"/>
      <w:sz w:val="24"/>
    </w:rPr>
  </w:style>
  <w:style w:type="paragraph" w:styleId="Heading6">
    <w:name w:val="heading 6"/>
    <w:basedOn w:val="Normal"/>
    <w:next w:val="Normal"/>
    <w:qFormat/>
    <w:pPr>
      <w:keepNext w:val="true"/>
      <w:numPr>
        <w:ilvl w:val="5"/>
        <w:numId w:val="1"/>
      </w:numPr>
      <w:jc w:val="both"/>
      <w:outlineLvl w:val="5"/>
    </w:pPr>
    <w:rPr>
      <w:color w:val="000000"/>
      <w:sz w:val="24"/>
    </w:rPr>
  </w:style>
  <w:style w:type="paragraph" w:styleId="Heading7">
    <w:name w:val="heading 7"/>
    <w:basedOn w:val="Normal"/>
    <w:next w:val="Normal"/>
    <w:qFormat/>
    <w:pPr>
      <w:keepNext w:val="true"/>
      <w:numPr>
        <w:ilvl w:val="6"/>
        <w:numId w:val="1"/>
      </w:numPr>
      <w:outlineLvl w:val="6"/>
    </w:pPr>
    <w:rPr>
      <w:b/>
      <w:bCs/>
    </w:rPr>
  </w:style>
  <w:style w:type="paragraph" w:styleId="Heading8">
    <w:name w:val="heading 8"/>
    <w:basedOn w:val="Normal"/>
    <w:next w:val="Normal"/>
    <w:qFormat/>
    <w:pPr>
      <w:keepNext w:val="true"/>
      <w:numPr>
        <w:ilvl w:val="7"/>
        <w:numId w:val="1"/>
      </w:numPr>
      <w:tabs>
        <w:tab w:val="clear" w:pos="720"/>
        <w:tab w:val="left" w:pos="360" w:leader="none"/>
      </w:tabs>
      <w:outlineLvl w:val="7"/>
    </w:pPr>
    <w:rPr>
      <w:b/>
      <w:bCs/>
      <w:sz w:val="24"/>
      <w:u w:val="single"/>
    </w:rPr>
  </w:style>
  <w:style w:type="paragraph" w:styleId="Heading9">
    <w:name w:val="heading 9"/>
    <w:basedOn w:val="Normal"/>
    <w:next w:val="Normal"/>
    <w:qFormat/>
    <w:pPr>
      <w:keepNext w:val="true"/>
      <w:numPr>
        <w:ilvl w:val="8"/>
        <w:numId w:val="1"/>
      </w:numPr>
      <w:ind w:hanging="0" w:start="720" w:end="0"/>
      <w:jc w:val="both"/>
      <w:outlineLvl w:val="8"/>
    </w:pPr>
    <w:rPr>
      <w:sz w:val="24"/>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2">
    <w:name w:val="WW8Num5z2"/>
    <w:qFormat/>
    <w:rPr>
      <w:rFonts w:ascii="Symbol" w:hAnsi="Symbol" w:cs="Symbol"/>
    </w:rPr>
  </w:style>
  <w:style w:type="character" w:styleId="WW8Num5z4">
    <w:name w:val="WW8Num5z4"/>
    <w:qFormat/>
    <w:rPr>
      <w:rFonts w:ascii="Courier New" w:hAnsi="Courier New" w:cs="Courier New"/>
    </w:rPr>
  </w:style>
  <w:style w:type="character" w:styleId="WW8Num5z5">
    <w:name w:val="WW8Num5z5"/>
    <w:qFormat/>
    <w:rPr>
      <w:rFonts w:ascii="Wingdings" w:hAnsi="Wingdings" w:cs="Wingdings"/>
    </w:rPr>
  </w:style>
  <w:style w:type="character" w:styleId="WW8Num6z0">
    <w:name w:val="WW8Num6z0"/>
    <w:qFormat/>
    <w:rPr>
      <w:rFonts w:ascii="Symbol" w:hAnsi="Symbol" w:cs="Symbol"/>
    </w:rPr>
  </w:style>
  <w:style w:type="character" w:styleId="WW8Num7z1">
    <w:name w:val="WW8Num7z1"/>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8z1">
    <w:name w:val="WW8Num18z1"/>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1z0">
    <w:name w:val="WW8Num31z0"/>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1z0">
    <w:name w:val="WW8Num41z0"/>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2z2">
    <w:name w:val="WW8Num42z2"/>
    <w:qFormat/>
    <w:rPr>
      <w:rFonts w:ascii="Wingdings" w:hAnsi="Wingdings" w:cs="Wingdings"/>
    </w:rPr>
  </w:style>
  <w:style w:type="character" w:styleId="WW8Num42z4">
    <w:name w:val="WW8Num42z4"/>
    <w:qFormat/>
    <w:rPr>
      <w:rFonts w:ascii="Courier New" w:hAnsi="Courier New" w:cs="Courier New"/>
    </w:rPr>
  </w:style>
  <w:style w:type="character" w:styleId="WW8Num44z0">
    <w:name w:val="WW8Num44z0"/>
    <w:qFormat/>
    <w:rPr>
      <w:rFonts w:ascii="Symbol" w:hAnsi="Symbol" w:cs="Symbol"/>
    </w:rPr>
  </w:style>
  <w:style w:type="character" w:styleId="WW8Num46z0">
    <w:name w:val="WW8Num46z0"/>
    <w:qFormat/>
    <w:rPr/>
  </w:style>
  <w:style w:type="character" w:styleId="WW8Num47z0">
    <w:name w:val="WW8Num47z0"/>
    <w:qFormat/>
    <w:rPr>
      <w:rFonts w:ascii="Symbol" w:hAnsi="Symbol" w:cs="Symbol"/>
    </w:rPr>
  </w:style>
  <w:style w:type="character" w:styleId="WW8Num47z4">
    <w:name w:val="WW8Num47z4"/>
    <w:qFormat/>
    <w:rPr>
      <w:rFonts w:ascii="Courier New" w:hAnsi="Courier New" w:cs="Courier New"/>
    </w:rPr>
  </w:style>
  <w:style w:type="character" w:styleId="WW8Num47z5">
    <w:name w:val="WW8Num47z5"/>
    <w:qFormat/>
    <w:rPr>
      <w:rFonts w:ascii="Wingdings" w:hAnsi="Wingdings" w:cs="Wingdings"/>
    </w:rPr>
  </w:style>
  <w:style w:type="character" w:styleId="WW8Num48z0">
    <w:name w:val="WW8Num48z0"/>
    <w:qFormat/>
    <w:rPr>
      <w:rFonts w:ascii="Symbol" w:hAnsi="Symbol" w:cs="Symbol"/>
    </w:rPr>
  </w:style>
  <w:style w:type="character" w:styleId="WW8Num50z0">
    <w:name w:val="WW8Num50z0"/>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9z0">
    <w:name w:val="WW8Num59z0"/>
    <w:qFormat/>
    <w:rPr>
      <w:rFonts w:ascii="Symbol" w:hAnsi="Symbol" w:cs="Symbol"/>
    </w:rPr>
  </w:style>
  <w:style w:type="character" w:styleId="WW8Num62z0">
    <w:name w:val="WW8Num62z0"/>
    <w:qFormat/>
    <w:rPr>
      <w:rFonts w:ascii="Wingdings" w:hAnsi="Wingdings" w:cs="Wingdings"/>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6z0">
    <w:name w:val="WW8Num66z0"/>
    <w:qFormat/>
    <w:rPr>
      <w:rFonts w:ascii="Symbol" w:hAnsi="Symbol" w:cs="Symbol"/>
    </w:rPr>
  </w:style>
  <w:style w:type="character" w:styleId="WW8Num66z2">
    <w:name w:val="WW8Num66z2"/>
    <w:qFormat/>
    <w:rPr>
      <w:rFonts w:ascii="Wingdings" w:hAnsi="Wingdings" w:cs="Wingdings"/>
    </w:rPr>
  </w:style>
  <w:style w:type="character" w:styleId="WW8Num66z4">
    <w:name w:val="WW8Num66z4"/>
    <w:qFormat/>
    <w:rPr>
      <w:rFonts w:ascii="Courier New" w:hAnsi="Courier New" w:cs="Courier New"/>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1z0">
    <w:name w:val="WW8Num71z0"/>
    <w:qFormat/>
    <w:rPr/>
  </w:style>
  <w:style w:type="character" w:styleId="WW8Num73z0">
    <w:name w:val="WW8Num73z0"/>
    <w:qFormat/>
    <w:rPr>
      <w:rFonts w:ascii="Symbol" w:hAnsi="Symbol" w:cs="Symbol"/>
    </w:rPr>
  </w:style>
  <w:style w:type="character" w:styleId="WW8Num75z0">
    <w:name w:val="WW8Num75z0"/>
    <w:qFormat/>
    <w:rPr>
      <w:rFonts w:ascii="Times New Roman" w:hAnsi="Times New Roman" w:cs="Times New Roman"/>
      <w:b/>
      <w:i w:val="false"/>
      <w:sz w:val="34"/>
    </w:rPr>
  </w:style>
  <w:style w:type="character" w:styleId="WW8Num75z1">
    <w:name w:val="WW8Num75z1"/>
    <w:qFormat/>
    <w:rPr>
      <w:rFonts w:ascii="Times New Roman" w:hAnsi="Times New Roman" w:cs="Times New Roman"/>
      <w:b/>
      <w:i w:val="false"/>
      <w:sz w:val="30"/>
    </w:rPr>
  </w:style>
  <w:style w:type="character" w:styleId="WW8Num75z2">
    <w:name w:val="WW8Num75z2"/>
    <w:qFormat/>
    <w:rPr>
      <w:rFonts w:ascii="Times New Roman" w:hAnsi="Times New Roman" w:cs="Times New Roman"/>
      <w:b/>
      <w:i w:val="false"/>
      <w:sz w:val="26"/>
    </w:rPr>
  </w:style>
  <w:style w:type="character" w:styleId="WW8Num75z3">
    <w:name w:val="WW8Num75z3"/>
    <w:qFormat/>
    <w:rPr>
      <w:rFonts w:ascii="Times New Roman" w:hAnsi="Times New Roman" w:cs="Times New Roman"/>
      <w:b/>
      <w:i w:val="false"/>
      <w:sz w:val="22"/>
    </w:rPr>
  </w:style>
  <w:style w:type="character" w:styleId="WW8Num75z4">
    <w:name w:val="WW8Num75z4"/>
    <w:qFormat/>
    <w:rPr>
      <w:b/>
      <w:i w:val="false"/>
    </w:rPr>
  </w:style>
  <w:style w:type="character" w:styleId="WW8Num75z5">
    <w:name w:val="WW8Num75z5"/>
    <w:qFormat/>
    <w:rPr/>
  </w:style>
  <w:style w:type="character" w:styleId="WW8Num76z1">
    <w:name w:val="WW8Num76z1"/>
    <w:qFormat/>
    <w:rPr>
      <w:rFonts w:ascii="Symbol" w:hAnsi="Symbol" w:cs="Symbol"/>
    </w:rPr>
  </w:style>
  <w:style w:type="character" w:styleId="WW8Num77z0">
    <w:name w:val="WW8Num77z0"/>
    <w:qFormat/>
    <w:rPr/>
  </w:style>
  <w:style w:type="character" w:styleId="WW8Num78z0">
    <w:name w:val="WW8Num78z0"/>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rFonts w:ascii="Symbol" w:hAnsi="Symbol" w:cs="Symbol"/>
    </w:rPr>
  </w:style>
  <w:style w:type="character" w:styleId="WW8Num82z4">
    <w:name w:val="WW8Num82z4"/>
    <w:qFormat/>
    <w:rPr>
      <w:rFonts w:ascii="Courier New" w:hAnsi="Courier New" w:cs="Courier New"/>
    </w:rPr>
  </w:style>
  <w:style w:type="character" w:styleId="WW8Num82z5">
    <w:name w:val="WW8Num82z5"/>
    <w:qFormat/>
    <w:rPr>
      <w:rFonts w:ascii="Wingdings" w:hAnsi="Wingdings" w:cs="Wingdings"/>
    </w:rPr>
  </w:style>
  <w:style w:type="character" w:styleId="WW8Num84z0">
    <w:name w:val="WW8Num84z0"/>
    <w:qFormat/>
    <w:rPr>
      <w:rFonts w:ascii="Symbol" w:hAnsi="Symbol" w:cs="Symbol"/>
    </w:rPr>
  </w:style>
  <w:style w:type="character" w:styleId="WW8Num86z1">
    <w:name w:val="WW8Num86z1"/>
    <w:qFormat/>
    <w:rPr>
      <w:rFonts w:ascii="Symbol" w:hAnsi="Symbol" w:cs="Symbol"/>
    </w:rPr>
  </w:style>
  <w:style w:type="character" w:styleId="WW8Num86z2">
    <w:name w:val="WW8Num86z2"/>
    <w:qFormat/>
    <w:rPr>
      <w:rFonts w:ascii="Wingdings" w:hAnsi="Wingdings" w:cs="Wingdings"/>
    </w:rPr>
  </w:style>
  <w:style w:type="character" w:styleId="WW8Num86z4">
    <w:name w:val="WW8Num86z4"/>
    <w:qFormat/>
    <w:rPr>
      <w:rFonts w:ascii="Courier New" w:hAnsi="Courier New" w:cs="Courier New"/>
    </w:rPr>
  </w:style>
  <w:style w:type="character" w:styleId="WW8Num87z1">
    <w:name w:val="WW8Num87z1"/>
    <w:qFormat/>
    <w:rPr>
      <w:rFonts w:ascii="Symbol" w:hAnsi="Symbol" w:cs="Symbol"/>
    </w:rPr>
  </w:style>
  <w:style w:type="character" w:styleId="WW8Num88z0">
    <w:name w:val="WW8Num88z0"/>
    <w:qFormat/>
    <w:rPr>
      <w:rFonts w:ascii="Symbol" w:hAnsi="Symbol" w:cs="Symbol"/>
    </w:rPr>
  </w:style>
  <w:style w:type="character" w:styleId="WW8Num88z2">
    <w:name w:val="WW8Num88z2"/>
    <w:qFormat/>
    <w:rPr>
      <w:rFonts w:ascii="Wingdings" w:hAnsi="Wingdings" w:cs="Wingdings"/>
    </w:rPr>
  </w:style>
  <w:style w:type="character" w:styleId="WW8Num88z4">
    <w:name w:val="WW8Num88z4"/>
    <w:qFormat/>
    <w:rPr>
      <w:rFonts w:ascii="Courier New" w:hAnsi="Courier New" w:cs="Courier New"/>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Wingdings" w:hAnsi="Wingdings" w:cs="Wingdings"/>
      <w:sz w:val="16"/>
    </w:rPr>
  </w:style>
  <w:style w:type="character" w:styleId="WW8Num95z0">
    <w:name w:val="WW8Num95z0"/>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Wingdings" w:hAnsi="Wingdings" w:cs="Wingdings"/>
    </w:rPr>
  </w:style>
  <w:style w:type="character" w:styleId="WW8Num98z0">
    <w:name w:val="WW8Num98z0"/>
    <w:qFormat/>
    <w:rPr>
      <w:rFonts w:ascii="Symbol" w:hAnsi="Symbol" w:cs="Symbol"/>
      <w:color w:val="000000"/>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8z3">
    <w:name w:val="WW8Num98z3"/>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4z0">
    <w:name w:val="WW8Num104z0"/>
    <w:qFormat/>
    <w:rPr>
      <w:rFonts w:ascii="Symbol" w:hAnsi="Symbol" w:cs="Symbol"/>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Wingdings" w:hAnsi="Wingdings" w:cs="Wingdings"/>
    </w:rPr>
  </w:style>
  <w:style w:type="character" w:styleId="WW8Num107z1">
    <w:name w:val="WW8Num107z1"/>
    <w:qFormat/>
    <w:rPr>
      <w:rFonts w:ascii="Courier New" w:hAnsi="Courier New" w:cs="Courier New"/>
    </w:rPr>
  </w:style>
  <w:style w:type="character" w:styleId="WW8Num107z3">
    <w:name w:val="WW8Num107z3"/>
    <w:qFormat/>
    <w:rPr>
      <w:rFonts w:ascii="Symbol" w:hAnsi="Symbol" w:cs="Symbol"/>
    </w:rPr>
  </w:style>
  <w:style w:type="character" w:styleId="WW8Num108z0">
    <w:name w:val="WW8Num108z0"/>
    <w:qFormat/>
    <w:rPr>
      <w:rFonts w:ascii="Wingdings" w:hAnsi="Wingdings" w:cs="Wingdings"/>
    </w:rPr>
  </w:style>
  <w:style w:type="character" w:styleId="WW8Num109z0">
    <w:name w:val="WW8Num109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Wingdings" w:hAnsi="Wingdings" w:cs="Wingdings"/>
    </w:rPr>
  </w:style>
  <w:style w:type="character" w:styleId="WW8Num112z1">
    <w:name w:val="WW8Num112z1"/>
    <w:qFormat/>
    <w:rPr>
      <w:rFonts w:ascii="Courier New" w:hAnsi="Courier New" w:cs="Courier New"/>
    </w:rPr>
  </w:style>
  <w:style w:type="character" w:styleId="WW8Num112z3">
    <w:name w:val="WW8Num112z3"/>
    <w:qFormat/>
    <w:rPr>
      <w:rFonts w:ascii="Symbol" w:hAnsi="Symbol" w:cs="Symbol"/>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1">
    <w:name w:val="WW8Num115z1"/>
    <w:qFormat/>
    <w:rPr>
      <w:rFonts w:ascii="Courier New" w:hAnsi="Courier New" w:cs="Courier New"/>
    </w:rPr>
  </w:style>
  <w:style w:type="character" w:styleId="WW8Num116z1">
    <w:name w:val="WW8Num116z1"/>
    <w:qFormat/>
    <w:rPr>
      <w:rFonts w:ascii="Symbol" w:hAnsi="Symbol" w:cs="Symbol"/>
    </w:rPr>
  </w:style>
  <w:style w:type="character" w:styleId="WW8Num117z0">
    <w:name w:val="WW8Num117z0"/>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style>
  <w:style w:type="character" w:styleId="WW8Num125z0">
    <w:name w:val="WW8Num125z0"/>
    <w:qFormat/>
    <w:rPr/>
  </w:style>
  <w:style w:type="character" w:styleId="WW8Num129z0">
    <w:name w:val="WW8Num129z0"/>
    <w:qFormat/>
    <w:rPr>
      <w:rFonts w:ascii="Symbol" w:hAnsi="Symbol" w:cs="Symbol"/>
    </w:rPr>
  </w:style>
  <w:style w:type="character" w:styleId="WW8Num129z2">
    <w:name w:val="WW8Num129z2"/>
    <w:qFormat/>
    <w:rPr>
      <w:rFonts w:ascii="Wingdings" w:hAnsi="Wingdings" w:cs="Wingdings"/>
    </w:rPr>
  </w:style>
  <w:style w:type="character" w:styleId="WW8Num129z4">
    <w:name w:val="WW8Num129z4"/>
    <w:qFormat/>
    <w:rPr>
      <w:rFonts w:ascii="Courier New" w:hAnsi="Courier New" w:cs="Courier New"/>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Wingdings" w:hAnsi="Wingdings" w:cs="Wingdings"/>
    </w:rPr>
  </w:style>
  <w:style w:type="character" w:styleId="WW8Num136z0">
    <w:name w:val="WW8Num136z0"/>
    <w:qFormat/>
    <w:rPr>
      <w:rFonts w:ascii="Symbol" w:hAnsi="Symbol" w:cs="Symbol"/>
    </w:rPr>
  </w:style>
  <w:style w:type="character" w:styleId="WW8Num136z2">
    <w:name w:val="WW8Num136z2"/>
    <w:qFormat/>
    <w:rPr>
      <w:rFonts w:ascii="Wingdings" w:hAnsi="Wingdings" w:cs="Wingdings"/>
    </w:rPr>
  </w:style>
  <w:style w:type="character" w:styleId="WW8Num136z4">
    <w:name w:val="WW8Num136z4"/>
    <w:qFormat/>
    <w:rPr>
      <w:rFonts w:ascii="Courier New" w:hAnsi="Courier New" w:cs="Courier New"/>
    </w:rPr>
  </w:style>
  <w:style w:type="character" w:styleId="WW8Num138z0">
    <w:name w:val="WW8Num138z0"/>
    <w:qFormat/>
    <w:rPr>
      <w:rFonts w:ascii="Symbol" w:hAnsi="Symbol" w:cs="Symbol"/>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9z0">
    <w:name w:val="WW8Num139z0"/>
    <w:qFormat/>
    <w:rPr>
      <w:rFonts w:ascii="Wingdings" w:hAnsi="Wingdings" w:cs="Wingdings"/>
    </w:rPr>
  </w:style>
  <w:style w:type="character" w:styleId="WW8Num139z1">
    <w:name w:val="WW8Num139z1"/>
    <w:qFormat/>
    <w:rPr>
      <w:rFonts w:ascii="Courier New" w:hAnsi="Courier New" w:cs="Courier New"/>
    </w:rPr>
  </w:style>
  <w:style w:type="character" w:styleId="WW8Num139z3">
    <w:name w:val="WW8Num139z3"/>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144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EndnoteText">
    <w:name w:val="endnote text"/>
    <w:basedOn w:val="Normal"/>
    <w:pPr/>
    <w:rPr/>
  </w:style>
  <w:style w:type="paragraph" w:styleId="BodyTextIndent">
    <w:name w:val="Body Text Indent"/>
    <w:basedOn w:val="Normal"/>
    <w:pPr>
      <w:ind w:hanging="0" w:start="36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sz w:val="24"/>
    </w:rPr>
  </w:style>
  <w:style w:type="paragraph" w:styleId="BodyTextIndent2">
    <w:name w:val="Body Text Indent 2"/>
    <w:basedOn w:val="Normal"/>
    <w:qFormat/>
    <w:pPr>
      <w:ind w:hanging="0" w:start="360" w:end="0"/>
      <w:jc w:val="both"/>
    </w:pPr>
    <w:rPr>
      <w:sz w:val="24"/>
    </w:rPr>
  </w:style>
  <w:style w:type="paragraph" w:styleId="BodyTextIndent3">
    <w:name w:val="Body Text Indent 3"/>
    <w:basedOn w:val="Normal"/>
    <w:qFormat/>
    <w:pPr>
      <w:ind w:hanging="0" w:start="162" w:end="0"/>
    </w:pPr>
    <w:rPr>
      <w:color w:val="000000"/>
      <w:sz w:val="24"/>
    </w:rPr>
  </w:style>
  <w:style w:type="paragraph" w:styleId="ListBullet">
    <w:name w:val="List Bullet"/>
    <w:basedOn w:val="Normal"/>
    <w:qFormat/>
    <w:pPr>
      <w:spacing w:before="60" w:after="60"/>
    </w:pPr>
    <w:rPr>
      <w:sz w:val="24"/>
    </w:rPr>
  </w:style>
  <w:style w:type="paragraph" w:styleId="DefaultText">
    <w:name w:val="Default Text"/>
    <w:basedOn w:val="Normal"/>
    <w:qFormat/>
    <w:pPr/>
    <w:rPr>
      <w:sz w:val="24"/>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CCCCCC" w:val="clear"/>
      <w:spacing w:before="120" w:after="120"/>
      <w:ind w:hanging="0" w:start="720" w:end="720"/>
    </w:pPr>
    <w:rPr>
      <w:sz w:val="24"/>
    </w:rPr>
  </w:style>
  <w:style w:type="paragraph" w:styleId="Bullet">
    <w:name w:val="Bullet"/>
    <w:basedOn w:val="Normal"/>
    <w:qFormat/>
    <w:pPr>
      <w:numPr>
        <w:ilvl w:val="0"/>
        <w:numId w:val="28"/>
      </w:numPr>
      <w:spacing w:before="60" w:after="120"/>
    </w:pPr>
    <w:rPr>
      <w:sz w:val="24"/>
    </w:rPr>
  </w:style>
  <w:style w:type="paragraph" w:styleId="TextBody">
    <w:name w:val="Text Body"/>
    <w:basedOn w:val="Normal"/>
    <w:qFormat/>
    <w:pPr>
      <w:spacing w:before="0" w:after="240"/>
      <w:ind w:hanging="0" w:start="1800" w:end="0"/>
    </w:pPr>
    <w:rPr>
      <w:sz w:val="24"/>
      <w:szCs w:val="24"/>
    </w:rPr>
  </w:style>
  <w:style w:type="paragraph" w:styleId="Bullet15">
    <w:name w:val="Bullet (1.5)"/>
    <w:basedOn w:val="Normal"/>
    <w:qFormat/>
    <w:pPr>
      <w:numPr>
        <w:ilvl w:val="0"/>
        <w:numId w:val="11"/>
      </w:numPr>
      <w:spacing w:before="0" w:after="120"/>
    </w:pPr>
    <w:rPr>
      <w:sz w:val="24"/>
    </w:rPr>
  </w:style>
  <w:style w:type="paragraph" w:styleId="Heading2NoN">
    <w:name w:val="Heading 2 NoN"/>
    <w:basedOn w:val="Heading2"/>
    <w:next w:val="Normal"/>
    <w:qFormat/>
    <w:pPr>
      <w:numPr>
        <w:ilvl w:val="0"/>
        <w:numId w:val="0"/>
      </w:numPr>
      <w:spacing w:before="240" w:after="240"/>
      <w:outlineLvl w:val="9"/>
    </w:pPr>
    <w:rPr>
      <w:rFonts w:cs="Arial"/>
      <w:bCs/>
      <w:i/>
      <w:smallCaps/>
      <w:szCs w:val="28"/>
    </w:rPr>
  </w:style>
  <w:style w:type="paragraph" w:styleId="ABLOCKPARA">
    <w:name w:val="A BLOCK PARA"/>
    <w:basedOn w:val="Normal"/>
    <w:qFormat/>
    <w:pPr>
      <w:spacing w:lineRule="auto" w:line="360"/>
    </w:pPr>
    <w:rPr>
      <w:rFonts w:ascii="Book Antiqua" w:hAnsi="Book Antiqua" w:cs="Arial"/>
      <w:bCs/>
    </w:rPr>
  </w:style>
  <w:style w:type="paragraph" w:styleId="Style11">
    <w:name w:val="Style1"/>
    <w:basedOn w:val="Normal"/>
    <w:qFormat/>
    <w:pPr>
      <w:spacing w:lineRule="auto" w:line="360"/>
    </w:pPr>
    <w:rPr>
      <w:rFonts w:ascii="Book Antiqua" w:hAnsi="Book Antiqua" w:cs="Book Antiqu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eeyanson@aep.com" TargetMode="External"/><Relationship Id="rId3" Type="http://schemas.openxmlformats.org/officeDocument/2006/relationships/hyperlink" Target="mailto:kjvass@aep.com" TargetMode="External"/><Relationship Id="rId4" Type="http://schemas.openxmlformats.org/officeDocument/2006/relationships/hyperlink" Target="http://www.spp.org/" TargetMode="External"/><Relationship Id="rId5" Type="http://schemas.openxmlformats.org/officeDocument/2006/relationships/hyperlink" Target="http://www.spp.org/" TargetMode="External"/><Relationship Id="rId6" Type="http://schemas.openxmlformats.org/officeDocument/2006/relationships/hyperlink" Target="http://www.puc.state.tx.us./rules/subrules/electric/25.appIV/appIV.pdf" TargetMode="External"/><Relationship Id="rId7" Type="http://schemas.openxmlformats.org/officeDocument/2006/relationships/hyperlink" Target="http://www.ercot.com/tac/retailisoadhoccommittee/protocols/keydocs/draftercotprotocols.htm" TargetMode="External"/><Relationship Id="rId8" Type="http://schemas.openxmlformats.org/officeDocument/2006/relationships/hyperlink" Target="http://www.puc.state.tx.us/rules/subrules/electric/index.cfm" TargetMode="External"/><Relationship Id="rId9" Type="http://schemas.openxmlformats.org/officeDocument/2006/relationships/hyperlink" Target="http://www.ercot.com/Tac/RetailISOAdHocCommittee/Customer/SET/keydocs/Keydocs.htm" TargetMode="External"/><Relationship Id="rId10" Type="http://schemas.openxmlformats.org/officeDocument/2006/relationships/hyperlink" Target="http://itpta.intellimark-it.com/" TargetMode="External"/><Relationship Id="rId11" Type="http://schemas.openxmlformats.org/officeDocument/2006/relationships/hyperlink" Target="http://www.spp.org/Publications/SPP_Market_Guide(v1.1).doc"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2001-05-31T12:02:00Z</dcterms:created>
  <dc:creator>N. Hetrick</dc:creator>
  <dc:description/>
  <dc:language>en-CA</dc:language>
  <cp:lastModifiedBy>nhetrick</cp:lastModifiedBy>
  <cp:lastPrinted>2001-05-24T14:29:00Z</cp:lastPrinted>
  <dcterms:modified xsi:type="dcterms:W3CDTF">2001-05-31T21:08:00Z</dcterms:modified>
  <cp:revision>16</cp:revision>
  <dc:subject>Commonwealth Edison - Market Analysis</dc:subject>
  <dc:title>Executive Market Summary</dc:title>
</cp:coreProperties>
</file>