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AEP SETTLEMENT</w:t>
      </w:r>
    </w:p>
    <w:p>
      <w:pPr>
        <w:pStyle w:val="Normal"/>
        <w:rPr/>
      </w:pPr>
      <w:r>
        <w:rPr/>
      </w:r>
    </w:p>
    <w:p>
      <w:pPr>
        <w:pStyle w:val="Normal"/>
        <w:rPr/>
      </w:pPr>
      <w:r>
        <w:rPr/>
      </w:r>
    </w:p>
    <w:p>
      <w:pPr>
        <w:pStyle w:val="Normal"/>
        <w:numPr>
          <w:ilvl w:val="0"/>
          <w:numId w:val="2"/>
        </w:numPr>
        <w:rPr/>
      </w:pPr>
      <w:r>
        <w:rPr>
          <w:b/>
        </w:rPr>
        <w:t>Positive Highlights of the Settlement</w:t>
      </w:r>
    </w:p>
    <w:p>
      <w:pPr>
        <w:pStyle w:val="Normal"/>
        <w:numPr>
          <w:ilvl w:val="0"/>
          <w:numId w:val="1"/>
        </w:numPr>
        <w:rPr/>
      </w:pPr>
      <w:r>
        <w:rPr/>
        <w:t>Distribution rate freeze for Ohio Power Company (OPCO) and Columbus Southern Power (CSP) through Dec 31, 2007 and Dec. 31, 2008 respectively, thereby protecting existing Enron deals.</w:t>
      </w:r>
    </w:p>
    <w:p>
      <w:pPr>
        <w:pStyle w:val="Normal"/>
        <w:numPr>
          <w:ilvl w:val="0"/>
          <w:numId w:val="1"/>
        </w:numPr>
        <w:rPr/>
      </w:pPr>
      <w:r>
        <w:rPr/>
        <w:t>Strong transmission language including: addressing the native load issue so that all users of the transmission system are treated equally under the Companies’ proforma tariffs; addressing the seams issue (pancaking between MISO and Alliance) as well as making a fund of $10 million availble to cover pancaking costs incurred by suppliers; the transfer of operating control of transmission facilities no later than Dec. 15, 2001; and, the agreement to file at FERC for the extension of rollover rights to retail customers which will make more transmission capacity available for customers who choose.</w:t>
      </w:r>
    </w:p>
    <w:p>
      <w:pPr>
        <w:pStyle w:val="Normal"/>
        <w:numPr>
          <w:ilvl w:val="0"/>
          <w:numId w:val="1"/>
        </w:numPr>
        <w:rPr/>
      </w:pPr>
      <w:r>
        <w:rPr/>
        <w:t>Write-off of some regulatory assets with recovery terminating early.  (December 31, 2007 for OPCO and Dec. 31, 2008 for CSP).</w:t>
      </w:r>
    </w:p>
    <w:p>
      <w:pPr>
        <w:pStyle w:val="Normal"/>
        <w:numPr>
          <w:ilvl w:val="0"/>
          <w:numId w:val="1"/>
        </w:numPr>
        <w:rPr/>
      </w:pPr>
      <w:r>
        <w:rPr/>
        <w:t>2.5 mills shopping incentive for first 25% of residential customers that switch from CSP.</w:t>
      </w:r>
    </w:p>
    <w:p>
      <w:pPr>
        <w:pStyle w:val="Normal"/>
        <w:numPr>
          <w:ilvl w:val="0"/>
          <w:numId w:val="1"/>
        </w:numPr>
        <w:rPr/>
      </w:pPr>
      <w:r>
        <w:rPr/>
        <w:t>Rate design provisions to equal bill impacts among commercial class customers.  (This will benefit high load factor customers).</w:t>
      </w:r>
    </w:p>
    <w:p>
      <w:pPr>
        <w:pStyle w:val="Normal"/>
        <w:numPr>
          <w:ilvl w:val="0"/>
          <w:numId w:val="1"/>
        </w:numPr>
        <w:rPr/>
      </w:pPr>
      <w:r>
        <w:rPr/>
        <w:t>Shopping credit of  5.88, 5.79 and 4.06 for GS 1-3, respectively for Columbus Southern. (see attached charts, which will be modified on Tuesday to reflect some minor changes to residential.</w:t>
      </w:r>
    </w:p>
    <w:p>
      <w:pPr>
        <w:pStyle w:val="Normal"/>
        <w:numPr>
          <w:ilvl w:val="0"/>
          <w:numId w:val="1"/>
        </w:numPr>
        <w:rPr/>
      </w:pPr>
      <w:r>
        <w:rPr/>
        <w:t>$1.00 Billing Credit during first year.  Agreement to implement supplier consolidated billing no later than 1/1/01.</w:t>
      </w:r>
    </w:p>
    <w:p>
      <w:pPr>
        <w:pStyle w:val="Normal"/>
        <w:numPr>
          <w:ilvl w:val="0"/>
          <w:numId w:val="1"/>
        </w:numPr>
        <w:rPr/>
      </w:pPr>
      <w:r>
        <w:rPr/>
        <w:t>Agreement to negotiate with marketers on load shaping issues.</w:t>
      </w:r>
    </w:p>
    <w:p>
      <w:pPr>
        <w:pStyle w:val="Normal"/>
        <w:numPr>
          <w:ilvl w:val="0"/>
          <w:numId w:val="1"/>
        </w:numPr>
        <w:rPr/>
      </w:pPr>
      <w:r>
        <w:rPr/>
        <w:t>Compliance with code of conduct.</w:t>
      </w:r>
    </w:p>
    <w:p>
      <w:pPr>
        <w:pStyle w:val="Normal"/>
        <w:rPr/>
      </w:pPr>
      <w:r>
        <w:rPr/>
      </w:r>
    </w:p>
    <w:p>
      <w:pPr>
        <w:pStyle w:val="Normal"/>
        <w:rPr/>
      </w:pPr>
      <w:r>
        <w:rPr/>
      </w:r>
    </w:p>
    <w:p>
      <w:pPr>
        <w:pStyle w:val="Normal"/>
        <w:rPr>
          <w:b/>
        </w:rPr>
      </w:pPr>
      <w:r>
        <w:rPr>
          <w:b/>
        </w:rPr>
        <w:t>2.   Other Aspects of the Settlement</w:t>
      </w:r>
    </w:p>
    <w:p>
      <w:pPr>
        <w:pStyle w:val="Normal"/>
        <w:numPr>
          <w:ilvl w:val="0"/>
          <w:numId w:val="3"/>
        </w:numPr>
        <w:rPr/>
      </w:pPr>
      <w:r>
        <w:rPr/>
        <w:t>Commercial and Industrial customers must provide 90 days notice of  their intent to purchase alternative electric supply.  (This is an improvement over the 6 months currently in their tariffs).</w:t>
      </w:r>
    </w:p>
    <w:p>
      <w:pPr>
        <w:pStyle w:val="Normal"/>
        <w:numPr>
          <w:ilvl w:val="0"/>
          <w:numId w:val="3"/>
        </w:numPr>
        <w:rPr/>
      </w:pPr>
      <w:r>
        <w:rPr/>
        <w:t>Gross receipts tax issue will be litigated.  This results from the abolishment of the property tax and the consequence of shifting some of the tax burden from the north to the south.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360"/>
      </w:pPr>
      <w:rPr>
        <w:b/>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upperLetter"/>
      <w:lvlText w:val="%1."/>
      <w:lvlJc w:val="start"/>
      <w:pPr>
        <w:tabs>
          <w:tab w:val="num" w:pos="690"/>
        </w:tabs>
        <w:ind w:start="69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2000-05-16T16:15:00Z</dcterms:created>
  <dc:creator>jmigden</dc:creator>
  <dc:description/>
  <dc:language>en-CA</dc:language>
  <cp:lastModifiedBy>jmigden</cp:lastModifiedBy>
  <cp:lastPrinted>2000-05-19T13:43:00Z</cp:lastPrinted>
  <dcterms:modified xsi:type="dcterms:W3CDTF">2000-05-19T16:14:00Z</dcterms:modified>
  <cp:revision>2</cp:revision>
  <dc:subject/>
  <dc:title>AEP SETTLEMENT</dc:title>
</cp:coreProperties>
</file>